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2BF" w:rsidRDefault="008D02BF" w:rsidP="008D02BF">
      <w:pPr>
        <w:pStyle w:val="SOMHead"/>
        <w:spacing w:line="480" w:lineRule="auto"/>
      </w:pPr>
      <w:r>
        <w:t>Supplementary Materials:</w:t>
      </w:r>
    </w:p>
    <w:p w:rsidR="008D02BF" w:rsidRDefault="008D02BF" w:rsidP="008D02BF">
      <w:pPr>
        <w:pStyle w:val="Paragraph"/>
        <w:spacing w:line="480" w:lineRule="auto"/>
        <w:ind w:firstLine="0"/>
      </w:pPr>
      <w:r>
        <w:t>Supplementary materials and methods</w:t>
      </w:r>
    </w:p>
    <w:p w:rsidR="008D02BF" w:rsidRPr="007F39EE" w:rsidRDefault="008D02BF" w:rsidP="008D02BF">
      <w:pPr>
        <w:spacing w:line="480" w:lineRule="auto"/>
        <w:jc w:val="both"/>
        <w:rPr>
          <w:i/>
          <w:color w:val="000000"/>
        </w:rPr>
      </w:pPr>
      <w:r>
        <w:rPr>
          <w:i/>
        </w:rPr>
        <w:t>Tumor-directed radiation</w:t>
      </w:r>
    </w:p>
    <w:p w:rsidR="008D02BF" w:rsidRPr="00464555" w:rsidRDefault="008D02BF" w:rsidP="008D02BF">
      <w:pPr>
        <w:spacing w:line="480" w:lineRule="auto"/>
        <w:jc w:val="both"/>
        <w:rPr>
          <w:color w:val="000000"/>
        </w:rPr>
      </w:pPr>
      <w:r w:rsidRPr="00464555">
        <w:rPr>
          <w:color w:val="000000"/>
        </w:rPr>
        <w:t xml:space="preserve">Irradiation was performed on </w:t>
      </w:r>
      <w:r>
        <w:rPr>
          <w:color w:val="000000"/>
        </w:rPr>
        <w:t>an</w:t>
      </w:r>
      <w:r w:rsidRPr="00464555">
        <w:rPr>
          <w:color w:val="000000"/>
        </w:rPr>
        <w:t xml:space="preserve">aesthetized tumor-bearing mice using a RadSource 2000 X-ray irradiator (160 kV, 25mA) at a dose rate of 0.031 Gy/s. Each </w:t>
      </w:r>
      <w:r>
        <w:rPr>
          <w:color w:val="000000"/>
        </w:rPr>
        <w:t>m</w:t>
      </w:r>
      <w:r w:rsidRPr="00464555">
        <w:rPr>
          <w:color w:val="000000"/>
        </w:rPr>
        <w:t xml:space="preserve">ouse was briefly confined in a plastic restrainer and tumor-directed radiation was </w:t>
      </w:r>
      <w:r>
        <w:rPr>
          <w:color w:val="000000"/>
        </w:rPr>
        <w:t>performed</w:t>
      </w:r>
      <w:r w:rsidRPr="00464555">
        <w:rPr>
          <w:color w:val="000000"/>
        </w:rPr>
        <w:t xml:space="preserve"> using</w:t>
      </w:r>
      <w:r>
        <w:rPr>
          <w:color w:val="000000"/>
        </w:rPr>
        <w:t xml:space="preserve"> a</w:t>
      </w:r>
      <w:r w:rsidRPr="00464555">
        <w:rPr>
          <w:color w:val="000000"/>
        </w:rPr>
        <w:t xml:space="preserve"> lead shield with an opening that exposes the mouse flank allowing the tumor site to be </w:t>
      </w:r>
      <w:r>
        <w:rPr>
          <w:color w:val="000000"/>
        </w:rPr>
        <w:t>focally irradiated</w:t>
      </w:r>
      <w:r w:rsidRPr="00464555">
        <w:rPr>
          <w:color w:val="000000"/>
        </w:rPr>
        <w:t xml:space="preserve"> (BrainTree Scientific, Inc.).</w:t>
      </w:r>
      <w:r>
        <w:rPr>
          <w:color w:val="000000"/>
        </w:rPr>
        <w:t xml:space="preserve"> Mice were not anesthetized at the time of irradiation.</w:t>
      </w:r>
    </w:p>
    <w:p w:rsidR="008D02BF" w:rsidRPr="00464555" w:rsidRDefault="008D02BF" w:rsidP="008D02BF">
      <w:pPr>
        <w:spacing w:line="480" w:lineRule="auto"/>
        <w:jc w:val="both"/>
        <w:rPr>
          <w:color w:val="000000"/>
        </w:rPr>
      </w:pPr>
    </w:p>
    <w:p w:rsidR="008D02BF" w:rsidRPr="00464555" w:rsidRDefault="008D02BF" w:rsidP="008D02BF">
      <w:pPr>
        <w:spacing w:line="480" w:lineRule="auto"/>
        <w:jc w:val="both"/>
        <w:rPr>
          <w:i/>
          <w:color w:val="000000"/>
        </w:rPr>
      </w:pPr>
      <w:r w:rsidRPr="00464555">
        <w:rPr>
          <w:i/>
        </w:rPr>
        <w:t>Multispectral analysis</w:t>
      </w:r>
      <w:r w:rsidRPr="00464555">
        <w:rPr>
          <w:i/>
          <w:color w:val="000000"/>
        </w:rPr>
        <w:t xml:space="preserve"> </w:t>
      </w:r>
    </w:p>
    <w:p w:rsidR="008D02BF" w:rsidRPr="00464555" w:rsidRDefault="008D02BF" w:rsidP="008D02BF">
      <w:pPr>
        <w:autoSpaceDE w:val="0"/>
        <w:autoSpaceDN w:val="0"/>
        <w:adjustRightInd w:val="0"/>
        <w:spacing w:line="480" w:lineRule="auto"/>
        <w:jc w:val="both"/>
      </w:pPr>
      <w:r w:rsidRPr="00464555">
        <w:t xml:space="preserve">Briefly, five representative areas were randomly selected. These images were factored equally into the analysis for each mouse. For spectral unmixing, examples of each fluorophore are taken from single-stained slides for each antibody, as well as a representative autofluorescence spectrum from an unstained sample. Images from each of these single-stained and unstained slides were used to create a multispectral library in inForm </w:t>
      </w:r>
      <w:r>
        <w:t>(PerkinElmer, Hopkinton, MA)</w:t>
      </w:r>
      <w:r w:rsidRPr="00464555">
        <w:t xml:space="preserve"> and extracted from the multispectral data using linear unmixing. Cellular and subcellular compartments were defined by a counterstain (DAPI) to define the nucleus of each cell. Cell segmentation was adjusted based on minimum DAPI signal to accurately locate all cells and minimize hyper- and hypo-segmentation below 5% of total cells (assessed manually). Cells were then phenotyped using the phenotyping feature in inForm. Approximately 25-30 representative cells for each base variable were selected to train the phenotyping algorithm: tumor (EpCAM), T cells (CD3), and other (negative for EpCAM and CD3). Last the images were scored for intensity based on each individual secondary marker for further phenotyping of CD4, CD8, FoxP3, and </w:t>
      </w:r>
      <w:r w:rsidRPr="00464555">
        <w:lastRenderedPageBreak/>
        <w:t>Granzyme B. Finally, data obtained from all representative images were compiled to yield values for each patient. Exported inForm data from all images was processed in separate software</w:t>
      </w:r>
      <w:r>
        <w:t xml:space="preserve"> proprietary</w:t>
      </w:r>
      <w:r w:rsidRPr="00464555">
        <w:t>. In this software, images were combined and analyzed to concatenate variables (i.e., CD3</w:t>
      </w:r>
      <w:r w:rsidRPr="00464555">
        <w:rPr>
          <w:vertAlign w:val="superscript"/>
        </w:rPr>
        <w:t>+</w:t>
      </w:r>
      <w:r w:rsidRPr="00464555">
        <w:t>CD8</w:t>
      </w:r>
      <w:r w:rsidRPr="00464555">
        <w:rPr>
          <w:vertAlign w:val="superscript"/>
        </w:rPr>
        <w:t>+</w:t>
      </w:r>
      <w:r w:rsidRPr="00464555">
        <w:t>Granzyme B</w:t>
      </w:r>
      <w:r w:rsidRPr="00464555">
        <w:rPr>
          <w:vertAlign w:val="superscript"/>
        </w:rPr>
        <w:t>+</w:t>
      </w:r>
      <w:r w:rsidRPr="00464555">
        <w:t xml:space="preserve">) and determine density of distinct phenotypes. </w:t>
      </w:r>
    </w:p>
    <w:p w:rsidR="008D02BF" w:rsidRPr="00464555" w:rsidRDefault="008D02BF" w:rsidP="008D02BF">
      <w:pPr>
        <w:spacing w:line="480" w:lineRule="auto"/>
        <w:rPr>
          <w:b/>
        </w:rPr>
      </w:pPr>
    </w:p>
    <w:p w:rsidR="008D02BF" w:rsidRPr="00464555" w:rsidRDefault="008D02BF" w:rsidP="008D02BF">
      <w:pPr>
        <w:spacing w:line="480" w:lineRule="auto"/>
        <w:rPr>
          <w:i/>
        </w:rPr>
      </w:pPr>
      <w:r w:rsidRPr="00464555">
        <w:rPr>
          <w:i/>
        </w:rPr>
        <w:t>Gene expression analysis</w:t>
      </w:r>
    </w:p>
    <w:p w:rsidR="008D02BF" w:rsidRPr="00464555" w:rsidRDefault="008D02BF" w:rsidP="008D02BF">
      <w:pPr>
        <w:pStyle w:val="Default"/>
        <w:spacing w:line="480" w:lineRule="auto"/>
        <w:jc w:val="both"/>
        <w:rPr>
          <w:rFonts w:ascii="Times New Roman" w:hAnsi="Times New Roman" w:cs="Times New Roman"/>
        </w:rPr>
      </w:pPr>
      <w:r w:rsidRPr="00464555">
        <w:rPr>
          <w:rFonts w:ascii="Times New Roman" w:hAnsi="Times New Roman" w:cs="Times New Roman"/>
        </w:rPr>
        <w:t xml:space="preserve">Gene expression profiling was performed using the NanoString nCounter® Gene Expression system. The process is as follows: </w:t>
      </w:r>
    </w:p>
    <w:p w:rsidR="008D02BF" w:rsidRPr="00464555" w:rsidRDefault="008D02BF" w:rsidP="008D02BF">
      <w:pPr>
        <w:pStyle w:val="Default"/>
        <w:spacing w:line="480" w:lineRule="auto"/>
        <w:jc w:val="both"/>
        <w:rPr>
          <w:rFonts w:ascii="Times New Roman" w:hAnsi="Times New Roman" w:cs="Times New Roman"/>
        </w:rPr>
      </w:pPr>
      <w:r w:rsidRPr="00464555">
        <w:rPr>
          <w:rFonts w:ascii="Times New Roman" w:hAnsi="Times New Roman" w:cs="Times New Roman"/>
          <w:bCs/>
        </w:rPr>
        <w:t xml:space="preserve">Hybridization protocol: </w:t>
      </w:r>
      <w:r w:rsidRPr="00464555">
        <w:rPr>
          <w:rFonts w:ascii="Times New Roman" w:hAnsi="Times New Roman" w:cs="Times New Roman"/>
        </w:rPr>
        <w:t xml:space="preserve">100 ng of total RNA were hybridized with the NanoString Technologies nCounter® Gene Expression Mouse PanCancer Immune Profiling code set containing 770 unique pairs of 35-50bp reporter probes and biotin-labeled capture probes, including internal reference controls. Overnight hybridization occurred for 17-22 hours at 65°C. </w:t>
      </w:r>
    </w:p>
    <w:p w:rsidR="008D02BF" w:rsidRPr="00464555" w:rsidRDefault="008D02BF" w:rsidP="008D02BF">
      <w:pPr>
        <w:pStyle w:val="Default"/>
        <w:spacing w:line="480" w:lineRule="auto"/>
        <w:jc w:val="both"/>
        <w:rPr>
          <w:rFonts w:ascii="Times New Roman" w:hAnsi="Times New Roman" w:cs="Times New Roman"/>
        </w:rPr>
      </w:pPr>
      <w:r w:rsidRPr="00464555">
        <w:rPr>
          <w:rFonts w:ascii="Times New Roman" w:hAnsi="Times New Roman" w:cs="Times New Roman"/>
          <w:bCs/>
        </w:rPr>
        <w:t xml:space="preserve">Wash protocol: </w:t>
      </w:r>
      <w:r w:rsidRPr="00464555">
        <w:rPr>
          <w:rFonts w:ascii="Times New Roman" w:hAnsi="Times New Roman" w:cs="Times New Roman"/>
        </w:rPr>
        <w:t xml:space="preserve">Removal of excess probes with magnetic bead purification was performed on the nCounter® Prep Station (software v4.0.11.2) on the High Sensitivity assay. Briefly, the probe-mRNA structure was affinity purified by its 3’ end to remove excess reporter probes, then by its 5’ end to remove excess capture probes. Once unbound probes were washed away, the tripartite structure was bound to the streptavidin-coated cartridge by the biotin capture probe, aligned by an electric current (negative to positive), and immobilized. Photobleaching and fluorophore degradation was prevented with the addition of SlowFade. </w:t>
      </w:r>
    </w:p>
    <w:p w:rsidR="008D02BF" w:rsidRDefault="008D02BF" w:rsidP="008D02BF">
      <w:pPr>
        <w:pStyle w:val="Default"/>
        <w:spacing w:line="480" w:lineRule="auto"/>
        <w:jc w:val="both"/>
        <w:rPr>
          <w:rFonts w:ascii="Times New Roman" w:hAnsi="Times New Roman" w:cs="Times New Roman"/>
        </w:rPr>
      </w:pPr>
      <w:r w:rsidRPr="00464555">
        <w:rPr>
          <w:rFonts w:ascii="Times New Roman" w:hAnsi="Times New Roman" w:cs="Times New Roman"/>
          <w:bCs/>
        </w:rPr>
        <w:t xml:space="preserve">Scan protocol: </w:t>
      </w:r>
      <w:r w:rsidRPr="00464555">
        <w:rPr>
          <w:rFonts w:ascii="Times New Roman" w:hAnsi="Times New Roman" w:cs="Times New Roman"/>
        </w:rPr>
        <w:t>The cartridge containing immobilized samples was transferred to the nCounter® Digital Analyzer (software v3.0.1.4) and scanned at 555 field of view (FOV). An epi-fluorescent microscope and CCD camera identified sets of fluorescent spots, which were tabulated for data output. Quality control metrics were recorded using the nSolver Analysis Software v3.0.22.</w:t>
      </w:r>
    </w:p>
    <w:p w:rsidR="008D02BF" w:rsidRPr="00464555" w:rsidRDefault="008D02BF" w:rsidP="008D02BF">
      <w:pPr>
        <w:spacing w:line="480" w:lineRule="auto"/>
        <w:jc w:val="both"/>
      </w:pPr>
      <w:r w:rsidRPr="006A1001">
        <w:rPr>
          <w:color w:val="000000"/>
        </w:rPr>
        <w:lastRenderedPageBreak/>
        <w:t>Raw read counts were normalized by NanoString nSolver (version 3.0) following the manufacture instruction. Briefly, the normalization subtracted the background measured by a negative control probe set, and the geometric mean of a set of housekeeping genes was then used to scale the read count for each sample. The normalized read counts were log2-transformed and used for differential gene expression analysis by the R package “limma”</w:t>
      </w:r>
      <w:r w:rsidRPr="006A1001">
        <w:rPr>
          <w:color w:val="000000"/>
        </w:rPr>
        <w:fldChar w:fldCharType="begin" w:fldLock="1"/>
      </w:r>
      <w:r>
        <w:rPr>
          <w:color w:val="000000"/>
        </w:rPr>
        <w:instrText>ADDIN CSL_CITATION { "citationItems" : [ { "id" : "ITEM-1", "itemData" : { "DOI" : "10.1093/nar/gkv007", "ISBN" : "0305-1048", "ISSN" : "13624962", "PMID" : "25605792", "abstract" : "limma is an R/Bioconductor software package that provides an integrated solution for analysing data from gene expression experiments. It contains rich features for handling complex experimental designs and for information borrowing to overcome the problem of small sample sizes. Over the past decade, limma has been a popular choice for gene discovery through differential expression analyses of microarray and high-throughput PCR data. The package contains particularly strong facilities for reading, normalizing and exploring such data. Recently, the capabilities of limma have been significantly expanded in two important directions. First, the package can now perform both differential expression and differential splicing analyses of RNA sequencing (RNA-seq) data. All the downstream analysis tools previously restricted to microarray data are now available for RNA-seq as well. These capabilities allow users to analyse both RNA-seq and microarray data with very similar pipelines. Second, the package is now able to go past the traditional gene-wise expression analyses in a variety of ways, analysing expression profiles in terms of co-regulated sets of genes or in terms of higher-order expression signatures. This provides enhanced possibilities for biological interpretation of gene expression differences. This article reviews the philosophy and design of the limma package, summarizing both new and historical features, with an emphasis on recent enhancements and features that have not been previously described.", "author" : [ { "dropping-particle" : "", "family" : "Ritchie", "given" : "Matthew E.", "non-dropping-particle" : "", "parse-names" : false, "suffix" : "" }, { "dropping-particle" : "", "family" : "Phipson", "given" : "Belinda", "non-dropping-particle" : "", "parse-names" : false, "suffix" : "" }, { "dropping-particle" : "", "family" : "Wu", "given" : "Di", "non-dropping-particle" : "", "parse-names" : false, "suffix" : "" }, { "dropping-particle" : "", "family" : "Hu", "given" : "Yifang", "non-dropping-particle" : "", "parse-names" : false, "suffix" : "" }, { "dropping-particle" : "", "family" : "Law", "given" : "Charity W.", "non-dropping-particle" : "", "parse-names" : false, "suffix" : "" }, { "dropping-particle" : "", "family" : "Shi", "given" : "Wei", "non-dropping-particle" : "", "parse-names" : false, "suffix" : "" }, { "dropping-particle" : "", "family" : "Smyth", "given" : "Gordon K.", "non-dropping-particle" : "", "parse-names" : false, "suffix" : "" } ], "container-title" : "Nucleic Acids Research", "id" : "ITEM-1", "issued" : { "date-parts" : [ [ "2015" ] ] }, "title" : "Limma powers differential expression analyses for RNA-sequencing and microarray studies", "type" : "article-journal" }, "uris" : [ "http://www.mendeley.com/documents/?uuid=4f82435e-4f6d-3a81-bfec-7049b5c05a24" ] } ], "mendeley" : { "formattedCitation" : "[71]", "plainTextFormattedCitation" : "[71]", "previouslyFormattedCitation" : "[71]" }, "properties" : { "noteIndex" : 0 }, "schema" : "https://github.com/citation-style-language/schema/raw/master/csl-citation.json" }</w:instrText>
      </w:r>
      <w:r w:rsidRPr="006A1001">
        <w:rPr>
          <w:color w:val="000000"/>
        </w:rPr>
        <w:fldChar w:fldCharType="separate"/>
      </w:r>
      <w:r w:rsidRPr="00B47F8B">
        <w:rPr>
          <w:noProof/>
          <w:color w:val="000000"/>
        </w:rPr>
        <w:t>[</w:t>
      </w:r>
      <w:r w:rsidR="0029038C">
        <w:rPr>
          <w:noProof/>
          <w:color w:val="000000"/>
        </w:rPr>
        <w:t>68</w:t>
      </w:r>
      <w:r w:rsidRPr="00B47F8B">
        <w:rPr>
          <w:noProof/>
          <w:color w:val="000000"/>
        </w:rPr>
        <w:t>]</w:t>
      </w:r>
      <w:r w:rsidRPr="006A1001">
        <w:rPr>
          <w:color w:val="000000"/>
        </w:rPr>
        <w:fldChar w:fldCharType="end"/>
      </w:r>
      <w:r w:rsidRPr="006A1001">
        <w:rPr>
          <w:color w:val="000000"/>
        </w:rPr>
        <w:t>. Differential</w:t>
      </w:r>
      <w:r>
        <w:rPr>
          <w:color w:val="000000"/>
        </w:rPr>
        <w:t>ly</w:t>
      </w:r>
      <w:r w:rsidRPr="006A1001">
        <w:rPr>
          <w:color w:val="000000"/>
        </w:rPr>
        <w:t xml:space="preserve"> expressed genes were defined using the cutoff of fold change &gt; 2 and adjusted p-value &lt; 0.05 (Benjamini-Hochberg procedure). Furthermore, the single sample GSEA algorithm (ssGSEA)</w:t>
      </w:r>
      <w:r w:rsidRPr="006A1001">
        <w:rPr>
          <w:color w:val="000000"/>
        </w:rPr>
        <w:fldChar w:fldCharType="begin" w:fldLock="1"/>
      </w:r>
      <w:r>
        <w:rPr>
          <w:color w:val="000000"/>
        </w:rPr>
        <w:instrText>ADDIN CSL_CITATION { "citationItems" : [ { "id" : "ITEM-1", "itemData" : { "DOI" : "10.1038/nature08460", "ISBN" : "1476-4687 (Electronic)\\r0028-0836 (Linking)", "ISSN" : "00280836", "PMID" : "19847166", "abstract" : "The proto-oncogene KRAS is mutated in a wide array of human cancers, most of which are aggressive and respond poorly to standard therapies. Although the identification of specific oncogenes has led to the development of clinically effective, molecularly targeted therapies in some cases, KRAS has remained refractory to this approach. A complementary strategy for targeting KRAS is to identify gene products that, when inhibited, result in cell death only in the presence of an oncogenic allele. Here we have used systematic RNA interference to detect synthetic lethal partners of oncogenic KRAS and found that the non-canonical IkappaB kinase TBK1 was selectively essential in cells that contain mutant KRAS. Suppression of TBK1 induced apoptosis specifically in human cancer cell lines that depend on oncogenic KRAS expression. In these cells, TBK1 activated NF-kappaB anti-apoptotic signals involving c-Rel and BCL-XL (also known as BCL2L1) that were essential for survival, providing mechanistic insights into this synthetic lethal interaction. These observations indicate that TBK1 and NF-kappaB signalling are essential in KRAS mutant tumours, and establish a general approach for the rational identification of co-dependent pathways in cancer.", "author" : [ { "dropping-particle" : "", "family" : "Barbie", "given" : "David A.", "non-dropping-particle" : "", "parse-names" : false, "suffix" : "" }, { "dropping-particle" : "", "family" : "Tamayo", "given" : "Pablo", "non-dropping-particle" : "", "parse-names" : false, "suffix" : "" }, { "dropping-particle" : "", "family" : "Boehm", "given" : "Jesse S.", "non-dropping-particle" : "", "parse-names" : false, "suffix" : "" }, { "dropping-particle" : "", "family" : "Kim", "given" : "So Young", "non-dropping-particle" : "", "parse-names" : false, "suffix" : "" }, { "dropping-particle" : "", "family" : "Moody", "given" : "Susan E.", "non-dropping-particle" : "", "parse-names" : false, "suffix" : "" }, { "dropping-particle" : "", "family" : "Dunn", "given" : "Ian F.", "non-dropping-particle" : "", "parse-names" : false, "suffix" : "" }, { "dropping-particle" : "", "family" : "Schinzel", "given" : "Anna C.", "non-dropping-particle" : "", "parse-names" : false, "suffix" : "" }, { "dropping-particle" : "", "family" : "Sandy", "given" : "Peter", "non-dropping-particle" : "", "parse-names" : false, "suffix" : "" }, { "dropping-particle" : "", "family" : "Meylan", "given" : "Etienne", "non-dropping-particle" : "", "parse-names" : false, "suffix" : "" }, { "dropping-particle" : "", "family" : "Scholl", "given" : "Claudia", "non-dropping-particle" : "", "parse-names" : false, "suffix" : "" }, { "dropping-particle" : "", "family" : "Fr\u00f6hling", "given" : "Stefan", "non-dropping-particle" : "", "parse-names" : false, "suffix" : "" }, { "dropping-particle" : "", "family" : "Chan", "given" : "Edmond M.", "non-dropping-particle" : "", "parse-names" : false, "suffix" : "" }, { "dropping-particle" : "", "family" : "Sos", "given" : "Martin L.", "non-dropping-particle" : "", "parse-names" : false, "suffix" : "" }, { "dropping-particle" : "", "family" : "Michel", "given" : "Kathrin", "non-dropping-particle" : "", "parse-names" : false, "suffix" : "" }, { "dropping-particle" : "", "family" : "Mermel", "given" : "Craig", "non-dropping-particle" : "", "parse-names" : false, "suffix" : "" }, { "dropping-particle" : "", "family" : "Silver", "given" : "Serena J.", "non-dropping-particle" : "", "parse-names" : false, "suffix" : "" }, { "dropping-particle" : "", "family" : "Weir", "given" : "Barbara A.", "non-dropping-particle" : "", "parse-names" : false, "suffix" : "" }, { "dropping-particle" : "", "family" : "Reiling", "given" : "Jan H.", "non-dropping-particle" : "", "parse-names" : false, "suffix" : "" }, { "dropping-particle" : "", "family" : "Sheng", "given" : "Qing", "non-dropping-particle" : "", "parse-names" : false, "suffix" : "" }, { "dropping-particle" : "", "family" : "Gupta", "given" : "Piyush B.", "non-dropping-particle" : "", "parse-names" : false, "suffix" : "" }, { "dropping-particle" : "", "family" : "Wadlow", "given" : "Raymond C.", "non-dropping-particle" : "", "parse-names" : false, "suffix" : "" }, { "dropping-particle" : "", "family" : "Le", "given" : "Hanh", "non-dropping-particle" : "", "parse-names" : false, "suffix" : "" }, { "dropping-particle" : "", "family" : "Hoersch", "given" : "Sebastian", "non-dropping-particle" : "", "parse-names" : false, "suffix" : "" }, { "dropping-particle" : "", "family" : "Wittner", "given" : "Ben S.", "non-dropping-particle" : "", "parse-names" : false, "suffix" : "" }, { "dropping-particle" : "", "family" : "Ramaswamy", "given" : "Sridhar", "non-dropping-particle" : "", "parse-names" : false, "suffix" : "" }, { "dropping-particle" : "", "family" : "Livingston", "given" : "David M.", "non-dropping-particle" : "", "parse-names" : false, "suffix" : "" }, { "dropping-particle" : "", "family" : "Sabatini", "given" : "David M.", "non-dropping-particle" : "", "parse-names" : false, "suffix" : "" }, { "dropping-particle" : "", "family" : "Meyerson", "given" : "Matthew", "non-dropping-particle" : "", "parse-names" : false, "suffix" : "" }, { "dropping-particle" : "", "family" : "Thomas", "given" : "Roman K.", "non-dropping-particle" : "", "parse-names" : false, "suffix" : "" }, { "dropping-particle" : "", "family" : "Lander", "given" : "Eric S.", "non-dropping-particle" : "", "parse-names" : false, "suffix" : "" }, { "dropping-particle" : "", "family" : "Mesirov", "given" : "Jill P.", "non-dropping-particle" : "", "parse-names" : false, "suffix" : "" }, { "dropping-particle" : "", "family" : "Root", "given" : "David E.", "non-dropping-particle" : "", "parse-names" : false, "suffix" : "" }, { "dropping-particle" : "", "family" : "Gilliland", "given" : "D. Gary", "non-dropping-particle" : "", "parse-names" : false, "suffix" : "" }, { "dropping-particle" : "", "family" : "Jacks", "given" : "Tyler", "non-dropping-particle" : "", "parse-names" : false, "suffix" : "" }, { "dropping-particle" : "", "family" : "Hahn", "given" : "William C.", "non-dropping-particle" : "", "parse-names" : false, "suffix" : "" } ], "container-title" : "Nature", "id" : "ITEM-1", "issued" : { "date-parts" : [ [ "2009" ] ] }, "title" : "Systematic RNA interference reveals that oncogenic KRAS-driven cancers require TBK1", "type" : "article-journal" }, "uris" : [ "http://www.mendeley.com/documents/?uuid=1c53beb5-6bc4-3922-926c-0d6cf71e55e8" ] } ], "mendeley" : { "formattedCitation" : "[72]", "plainTextFormattedCitation" : "[72]", "previouslyFormattedCitation" : "[72]" }, "properties" : { "noteIndex" : 0 }, "schema" : "https://github.com/citation-style-language/schema/raw/master/csl-citation.json" }</w:instrText>
      </w:r>
      <w:r w:rsidRPr="006A1001">
        <w:rPr>
          <w:color w:val="000000"/>
        </w:rPr>
        <w:fldChar w:fldCharType="separate"/>
      </w:r>
      <w:r w:rsidRPr="00B47F8B">
        <w:rPr>
          <w:noProof/>
          <w:color w:val="000000"/>
        </w:rPr>
        <w:t>[</w:t>
      </w:r>
      <w:r w:rsidR="00C8799C">
        <w:rPr>
          <w:noProof/>
          <w:color w:val="000000"/>
        </w:rPr>
        <w:t>69</w:t>
      </w:r>
      <w:r w:rsidRPr="00B47F8B">
        <w:rPr>
          <w:noProof/>
          <w:color w:val="000000"/>
        </w:rPr>
        <w:t>]</w:t>
      </w:r>
      <w:r w:rsidRPr="006A1001">
        <w:rPr>
          <w:color w:val="000000"/>
        </w:rPr>
        <w:fldChar w:fldCharType="end"/>
      </w:r>
      <w:r w:rsidRPr="006A1001">
        <w:rPr>
          <w:color w:val="000000"/>
        </w:rPr>
        <w:t xml:space="preserve"> implemented in the R package “GSVA”</w:t>
      </w:r>
      <w:r w:rsidRPr="006A1001">
        <w:rPr>
          <w:color w:val="000000"/>
        </w:rPr>
        <w:fldChar w:fldCharType="begin" w:fldLock="1"/>
      </w:r>
      <w:r>
        <w:rPr>
          <w:color w:val="000000"/>
        </w:rPr>
        <w:instrText>ADDIN CSL_CITATION { "citationItems" : [ { "id" : "ITEM-1", "itemData" : { "DOI" : "10.1186/1471-2105-14-7", "ISBN" : "1471-2105", "ISSN" : "14712105", "PMID" : "23323831", "abstract" : "BACKGROUND: Gene set enrichment (GSE) analysis is a popular framework for condensing information from gene expression profiles into a pathway or signature summary. The strengths of this approach over single gene analysis include noise and dimension reduction, as well as greater biological interpretability. As molecular profiling experiments move beyond simple case-control studies, robust and flexible GSE methodologies are needed that can model pathway activity within highly heterogeneous data sets. RESULTS: To address this challenge, we introduce Gene Set Variation Analysis (GSVA), a GSE method that estimates variation of pathway activity over a sample population in an unsupervised manner. We demonstrate the robustness of GSVA in a comparison with current state of the art sample-wise enrichment methods. Further, we provide examples of its utility in differential pathway activity and survival analysis. Lastly, we show how GSVA works analogously with data from both microarray and RNA-seq experiments. CONCLUSIONS: GSVA provides increased power to detect subtle pathway activity changes over a sample population in comparison to corresponding methods. While GSE methods are generally regarded as end points of a bioinformatic analysis, GSVA constitutes a starting point to build pathway-centric models of biology. Moreover, GSVA contributes to the current need of GSE methods for RNA-seq data. GSVA is an open source software package for R which forms part of the Bioconductor project and can be downloaded at http://www.bioconductor.org.", "author" : [ { "dropping-particle" : "", "family" : "H\u00e4nzelmann", "given" : "Sonja", "non-dropping-particle" : "", "parse-names" : false, "suffix" : "" }, { "dropping-particle" : "", "family" : "Castelo", "given" : "Robert", "non-dropping-particle" : "", "parse-names" : false, "suffix" : "" }, { "dropping-particle" : "", "family" : "Guinney", "given" : "Justin", "non-dropping-particle" : "", "parse-names" : false, "suffix" : "" } ], "container-title" : "BMC Bioinformatics", "id" : "ITEM-1", "issued" : { "date-parts" : [ [ "2013" ] ] }, "title" : "GSVA: Gene set variation analysis for microarray and RNA-Seq data", "type" : "article-journal" }, "uris" : [ "http://www.mendeley.com/documents/?uuid=6d8e9242-f0ac-343d-b359-a006906c18ba" ] } ], "mendeley" : { "formattedCitation" : "[73]", "plainTextFormattedCitation" : "[73]", "previouslyFormattedCitation" : "[73]" }, "properties" : { "noteIndex" : 0 }, "schema" : "https://github.com/citation-style-language/schema/raw/master/csl-citation.json" }</w:instrText>
      </w:r>
      <w:r w:rsidRPr="006A1001">
        <w:rPr>
          <w:color w:val="000000"/>
        </w:rPr>
        <w:fldChar w:fldCharType="separate"/>
      </w:r>
      <w:r w:rsidRPr="00B47F8B">
        <w:rPr>
          <w:noProof/>
          <w:color w:val="000000"/>
        </w:rPr>
        <w:t>[</w:t>
      </w:r>
      <w:r w:rsidR="00B15D21">
        <w:rPr>
          <w:noProof/>
          <w:color w:val="000000"/>
        </w:rPr>
        <w:t>70</w:t>
      </w:r>
      <w:bookmarkStart w:id="0" w:name="_GoBack"/>
      <w:bookmarkEnd w:id="0"/>
      <w:r w:rsidRPr="00B47F8B">
        <w:rPr>
          <w:noProof/>
          <w:color w:val="000000"/>
        </w:rPr>
        <w:t>]</w:t>
      </w:r>
      <w:r w:rsidRPr="006A1001">
        <w:rPr>
          <w:color w:val="000000"/>
        </w:rPr>
        <w:fldChar w:fldCharType="end"/>
      </w:r>
      <w:r w:rsidRPr="006A1001">
        <w:rPr>
          <w:color w:val="000000"/>
        </w:rPr>
        <w:t xml:space="preserve"> was used to transform the gene expression into pathway activity scores. Pairwise activity scores were compared </w:t>
      </w:r>
      <w:r>
        <w:rPr>
          <w:color w:val="000000"/>
        </w:rPr>
        <w:t xml:space="preserve">by the “limma” R package and </w:t>
      </w:r>
      <w:r w:rsidRPr="006A1001">
        <w:rPr>
          <w:color w:val="000000"/>
        </w:rPr>
        <w:t xml:space="preserve">adjusted p-value (Benjamini-Hochberg procedure) less than 0.05 was set to define differential activated pathways in the comparison. All the principle component analysis (PCA) and differential analysis were performed under the R computation environment (3.4.0). For all other graphs, the activity scores obtained were converted in z-scores. The immune pathway and immune cell type analysis are based on predetermined gene lists from NanoString and previous literature </w:t>
      </w:r>
      <w:r w:rsidRPr="006A1001">
        <w:t>(Supplementary Table S3 and S4).</w:t>
      </w:r>
    </w:p>
    <w:p w:rsidR="008D02BF" w:rsidRDefault="008D02BF" w:rsidP="008D02BF">
      <w:pPr>
        <w:pStyle w:val="Paragraph"/>
        <w:spacing w:line="480" w:lineRule="auto"/>
        <w:ind w:firstLine="0"/>
      </w:pPr>
    </w:p>
    <w:p w:rsidR="008D02BF" w:rsidRDefault="008D02BF" w:rsidP="008D02BF">
      <w:pPr>
        <w:pStyle w:val="Paragraph"/>
        <w:spacing w:line="480" w:lineRule="auto"/>
        <w:ind w:firstLine="0"/>
      </w:pPr>
      <w:r>
        <w:t>Supplementary figures</w:t>
      </w:r>
    </w:p>
    <w:p w:rsidR="008D02BF" w:rsidRPr="00E01754" w:rsidRDefault="008D02BF" w:rsidP="008D02BF">
      <w:pPr>
        <w:pStyle w:val="NormalWeb"/>
        <w:spacing w:before="0" w:beforeAutospacing="0" w:after="150" w:afterAutospacing="0" w:line="480" w:lineRule="auto"/>
        <w:jc w:val="both"/>
        <w:rPr>
          <w:color w:val="000000"/>
          <w:kern w:val="24"/>
        </w:rPr>
      </w:pPr>
      <w:r w:rsidRPr="004A00ED">
        <w:rPr>
          <w:b/>
          <w:bCs/>
        </w:rPr>
        <w:t xml:space="preserve">Fig. S1. The combination of CTX / L-NIL reverses the cold tumor microenvironment. </w:t>
      </w:r>
      <w:r>
        <w:rPr>
          <w:b/>
          <w:bCs/>
        </w:rPr>
        <w:t>(</w:t>
      </w:r>
      <w:r w:rsidRPr="009D4029">
        <w:rPr>
          <w:b/>
          <w:bCs/>
        </w:rPr>
        <w:t>A</w:t>
      </w:r>
      <w:r>
        <w:rPr>
          <w:bCs/>
        </w:rPr>
        <w:t>-</w:t>
      </w:r>
      <w:r w:rsidRPr="009D4029">
        <w:rPr>
          <w:b/>
          <w:bCs/>
        </w:rPr>
        <w:t>D</w:t>
      </w:r>
      <w:r>
        <w:rPr>
          <w:bCs/>
        </w:rPr>
        <w:t xml:space="preserve">) Subcutaneous established mEER tumors (day 17-18 post tumor cell injection) were treated with </w:t>
      </w:r>
      <w:r w:rsidRPr="004A00ED">
        <w:rPr>
          <w:bCs/>
        </w:rPr>
        <w:t>CTX (2mg per mouse</w:t>
      </w:r>
      <w:r>
        <w:rPr>
          <w:bCs/>
        </w:rPr>
        <w:t xml:space="preserve"> i.p.) </w:t>
      </w:r>
      <w:r w:rsidRPr="004A00ED">
        <w:rPr>
          <w:bCs/>
        </w:rPr>
        <w:t xml:space="preserve">and/ or L-NIL (0.2% in drinking water) </w:t>
      </w:r>
      <w:r w:rsidRPr="00E01754">
        <w:rPr>
          <w:color w:val="000000"/>
          <w:kern w:val="24"/>
        </w:rPr>
        <w:t>and</w:t>
      </w:r>
      <w:r>
        <w:t xml:space="preserve"> total tumor </w:t>
      </w:r>
      <w:r w:rsidRPr="004D16AB">
        <w:t xml:space="preserve">RNA was extracted and processed for </w:t>
      </w:r>
      <w:r>
        <w:t xml:space="preserve">gene expression </w:t>
      </w:r>
      <w:r w:rsidRPr="004D16AB">
        <w:t>analysis</w:t>
      </w:r>
      <w:r>
        <w:t xml:space="preserve"> after 1 week of treatment</w:t>
      </w:r>
      <w:r w:rsidRPr="00E01754">
        <w:rPr>
          <w:color w:val="000000"/>
          <w:kern w:val="24"/>
        </w:rPr>
        <w:t>, according to schedule in</w:t>
      </w:r>
      <w:r w:rsidRPr="004A00ED">
        <w:rPr>
          <w:bCs/>
        </w:rPr>
        <w:t xml:space="preserve"> (</w:t>
      </w:r>
      <w:r w:rsidRPr="004A00ED">
        <w:rPr>
          <w:b/>
          <w:bCs/>
        </w:rPr>
        <w:t>A</w:t>
      </w:r>
      <w:r w:rsidRPr="004A00ED">
        <w:rPr>
          <w:bCs/>
        </w:rPr>
        <w:t>).</w:t>
      </w:r>
      <w:r>
        <w:t xml:space="preserve"> </w:t>
      </w:r>
      <w:r w:rsidRPr="004A00ED">
        <w:t>(</w:t>
      </w:r>
      <w:r w:rsidRPr="002D0CAF">
        <w:rPr>
          <w:b/>
        </w:rPr>
        <w:t>B</w:t>
      </w:r>
      <w:r w:rsidRPr="004A00ED">
        <w:t xml:space="preserve">) PCA of </w:t>
      </w:r>
      <w:r>
        <w:t>total RNA expression</w:t>
      </w:r>
      <w:r w:rsidRPr="004A00ED">
        <w:t xml:space="preserve"> </w:t>
      </w:r>
      <w:r>
        <w:t>between</w:t>
      </w:r>
      <w:r w:rsidRPr="004A00ED">
        <w:t xml:space="preserve"> different treatments</w:t>
      </w:r>
      <w:r>
        <w:t xml:space="preserve"> (each dot represents an individual mouse)</w:t>
      </w:r>
      <w:r w:rsidRPr="004A00ED">
        <w:t>. (</w:t>
      </w:r>
      <w:r w:rsidRPr="002D0CAF">
        <w:rPr>
          <w:b/>
        </w:rPr>
        <w:t>C</w:t>
      </w:r>
      <w:r w:rsidRPr="004A00ED">
        <w:t xml:space="preserve">) </w:t>
      </w:r>
      <w:r>
        <w:t>Heatmap</w:t>
      </w:r>
      <w:r w:rsidRPr="004D16AB">
        <w:t xml:space="preserve"> </w:t>
      </w:r>
      <w:r>
        <w:t>of differential immune gene-set pathway enrichment represented as z-scores</w:t>
      </w:r>
      <w:r w:rsidRPr="004D16AB">
        <w:t xml:space="preserve"> </w:t>
      </w:r>
      <w:r>
        <w:t>between treatment</w:t>
      </w:r>
      <w:r w:rsidRPr="004D16AB">
        <w:t xml:space="preserve"> groups</w:t>
      </w:r>
      <w:r>
        <w:t xml:space="preserve">. </w:t>
      </w:r>
      <w:r w:rsidRPr="004A00ED">
        <w:t>(</w:t>
      </w:r>
      <w:r>
        <w:rPr>
          <w:b/>
        </w:rPr>
        <w:t>D</w:t>
      </w:r>
      <w:r w:rsidRPr="004A00ED">
        <w:t xml:space="preserve">) </w:t>
      </w:r>
      <w:r>
        <w:t xml:space="preserve">Gene-set based immune cell </w:t>
      </w:r>
      <w:r>
        <w:lastRenderedPageBreak/>
        <w:t>type enrichment comparing CTX and CTX/L-NIL represented as z-scores. (</w:t>
      </w:r>
      <w:r w:rsidRPr="009D4029">
        <w:rPr>
          <w:b/>
        </w:rPr>
        <w:t>B</w:t>
      </w:r>
      <w:r>
        <w:t>-</w:t>
      </w:r>
      <w:r w:rsidRPr="009D4029">
        <w:rPr>
          <w:b/>
        </w:rPr>
        <w:t>D</w:t>
      </w:r>
      <w:r>
        <w:t xml:space="preserve">; N=1; n=9/group; </w:t>
      </w:r>
      <w:r w:rsidRPr="00E01754">
        <w:rPr>
          <w:color w:val="000000"/>
          <w:kern w:val="24"/>
        </w:rPr>
        <w:t>unpaired t test). *</w:t>
      </w:r>
      <w:r w:rsidRPr="00E01754">
        <w:rPr>
          <w:i/>
          <w:iCs/>
          <w:color w:val="000000"/>
          <w:kern w:val="24"/>
        </w:rPr>
        <w:t xml:space="preserve">p </w:t>
      </w:r>
      <w:r w:rsidRPr="00E01754">
        <w:rPr>
          <w:color w:val="000000"/>
          <w:kern w:val="24"/>
        </w:rPr>
        <w:t>&lt; 0.05; **</w:t>
      </w:r>
      <w:r w:rsidRPr="00E01754">
        <w:rPr>
          <w:i/>
          <w:iCs/>
          <w:color w:val="000000"/>
          <w:kern w:val="24"/>
        </w:rPr>
        <w:t>p</w:t>
      </w:r>
      <w:r w:rsidRPr="00E01754">
        <w:rPr>
          <w:color w:val="000000"/>
          <w:kern w:val="24"/>
        </w:rPr>
        <w:t> &lt; 0.01; ns, not significant.</w:t>
      </w:r>
    </w:p>
    <w:p w:rsidR="008D02BF" w:rsidRDefault="008D02BF" w:rsidP="008D02BF">
      <w:pPr>
        <w:pStyle w:val="NormalWeb"/>
        <w:spacing w:after="150" w:line="480" w:lineRule="auto"/>
        <w:jc w:val="both"/>
      </w:pPr>
      <w:r w:rsidRPr="00E01754">
        <w:rPr>
          <w:b/>
          <w:bCs/>
          <w:color w:val="000000"/>
          <w:kern w:val="24"/>
        </w:rPr>
        <w:t xml:space="preserve">Fig. S2. CTX / L-NIL </w:t>
      </w:r>
      <w:r>
        <w:rPr>
          <w:b/>
          <w:bCs/>
          <w:color w:val="000000"/>
          <w:kern w:val="24"/>
        </w:rPr>
        <w:t>activates</w:t>
      </w:r>
      <w:r w:rsidRPr="00E01754">
        <w:rPr>
          <w:b/>
          <w:bCs/>
          <w:color w:val="000000"/>
          <w:kern w:val="24"/>
        </w:rPr>
        <w:t xml:space="preserve"> the immune microenvironment of CRT treated tumors. </w:t>
      </w:r>
      <w:r w:rsidRPr="00E01754">
        <w:rPr>
          <w:color w:val="000000"/>
          <w:kern w:val="24"/>
        </w:rPr>
        <w:t xml:space="preserve">Established mEER tumors were treated with CRT </w:t>
      </w:r>
      <w:r>
        <w:t>(</w:t>
      </w:r>
      <w:r w:rsidRPr="00DA6AD4">
        <w:t>10 X 3Gy daily</w:t>
      </w:r>
      <w:r>
        <w:t xml:space="preserve"> tumor-directed radiation and</w:t>
      </w:r>
      <w:r w:rsidRPr="00DA6AD4">
        <w:t xml:space="preserve"> 83</w:t>
      </w:r>
      <w:r>
        <w:t xml:space="preserve"> µ</w:t>
      </w:r>
      <w:r w:rsidRPr="00DA6AD4">
        <w:t>g/mouse</w:t>
      </w:r>
      <w:r>
        <w:t xml:space="preserve"> </w:t>
      </w:r>
      <w:r w:rsidRPr="00DA6AD4">
        <w:t>weekly</w:t>
      </w:r>
      <w:r w:rsidRPr="00DA6AD4" w:rsidDel="00A33D1A">
        <w:t xml:space="preserve"> </w:t>
      </w:r>
      <w:r w:rsidRPr="00DA6AD4">
        <w:t>cisplatin</w:t>
      </w:r>
      <w:r>
        <w:t xml:space="preserve"> </w:t>
      </w:r>
      <w:r w:rsidRPr="00DA6AD4">
        <w:t>i.p.</w:t>
      </w:r>
      <w:r>
        <w:t>)</w:t>
      </w:r>
      <w:r w:rsidRPr="00E01754">
        <w:rPr>
          <w:color w:val="000000"/>
          <w:kern w:val="24"/>
        </w:rPr>
        <w:t xml:space="preserve"> and/or CTX/L-NIL immunomodulation (CTX at 2 mg/mouse i.p. and L-NIL at 0.2% in drinking water) and</w:t>
      </w:r>
      <w:r>
        <w:t xml:space="preserve"> total tumor </w:t>
      </w:r>
      <w:r w:rsidRPr="004D16AB">
        <w:t xml:space="preserve">RNA was extracted and processed for </w:t>
      </w:r>
      <w:r>
        <w:t xml:space="preserve">gene expression </w:t>
      </w:r>
      <w:r w:rsidRPr="004D16AB">
        <w:t>analysis</w:t>
      </w:r>
      <w:r>
        <w:t xml:space="preserve"> after 1 week of treatment</w:t>
      </w:r>
      <w:r w:rsidRPr="00E01754">
        <w:rPr>
          <w:color w:val="000000"/>
          <w:kern w:val="24"/>
        </w:rPr>
        <w:t>, according to schedule in Figure 1</w:t>
      </w:r>
      <w:r>
        <w:rPr>
          <w:color w:val="000000"/>
          <w:kern w:val="24"/>
        </w:rPr>
        <w:t>E</w:t>
      </w:r>
      <w:r w:rsidRPr="002D0CAF">
        <w:rPr>
          <w:bCs/>
        </w:rPr>
        <w:t>.</w:t>
      </w:r>
      <w:r>
        <w:rPr>
          <w:bCs/>
        </w:rPr>
        <w:t xml:space="preserve"> </w:t>
      </w:r>
      <w:r>
        <w:t>(</w:t>
      </w:r>
      <w:r w:rsidRPr="002D0CAF">
        <w:rPr>
          <w:b/>
        </w:rPr>
        <w:t>A</w:t>
      </w:r>
      <w:r>
        <w:t xml:space="preserve">) </w:t>
      </w:r>
      <w:r w:rsidRPr="004A00ED">
        <w:t xml:space="preserve">PCA of </w:t>
      </w:r>
      <w:r>
        <w:t>total RNA expression</w:t>
      </w:r>
      <w:r w:rsidRPr="004A00ED">
        <w:t xml:space="preserve"> </w:t>
      </w:r>
      <w:r>
        <w:t>between</w:t>
      </w:r>
      <w:r w:rsidRPr="004A00ED">
        <w:t xml:space="preserve"> different treatments</w:t>
      </w:r>
      <w:r>
        <w:t xml:space="preserve"> (each dot represents an individual mouse). (</w:t>
      </w:r>
      <w:r w:rsidRPr="002D0CAF">
        <w:rPr>
          <w:b/>
        </w:rPr>
        <w:t>B</w:t>
      </w:r>
      <w:r>
        <w:t>) Heatmap</w:t>
      </w:r>
      <w:r w:rsidRPr="004D16AB">
        <w:t xml:space="preserve"> </w:t>
      </w:r>
      <w:r>
        <w:t>of differential immune gene-set pathway enrichment represented as z-scores for individual samples clustered by treatment</w:t>
      </w:r>
      <w:r w:rsidRPr="004A00ED">
        <w:t>.</w:t>
      </w:r>
      <w:r>
        <w:t xml:space="preserve"> (N=1; n=9/group).</w:t>
      </w:r>
    </w:p>
    <w:p w:rsidR="008D02BF" w:rsidRPr="00E01754" w:rsidRDefault="008D02BF" w:rsidP="008D02BF">
      <w:pPr>
        <w:pStyle w:val="NormalWeb"/>
        <w:spacing w:before="0" w:beforeAutospacing="0" w:after="150" w:afterAutospacing="0" w:line="480" w:lineRule="auto"/>
        <w:jc w:val="both"/>
        <w:rPr>
          <w:color w:val="000000"/>
          <w:kern w:val="24"/>
        </w:rPr>
      </w:pPr>
      <w:r w:rsidRPr="00E01754">
        <w:rPr>
          <w:b/>
          <w:bCs/>
          <w:color w:val="000000"/>
          <w:kern w:val="24"/>
        </w:rPr>
        <w:t>Fig. S3. CTX/L-NIL improves CRT treatment effects in established HPV</w:t>
      </w:r>
      <w:r>
        <w:rPr>
          <w:b/>
          <w:bCs/>
          <w:color w:val="000000"/>
          <w:kern w:val="24"/>
        </w:rPr>
        <w:t>-negative</w:t>
      </w:r>
      <w:r w:rsidRPr="00E01754">
        <w:rPr>
          <w:b/>
          <w:bCs/>
          <w:color w:val="000000"/>
          <w:kern w:val="24"/>
        </w:rPr>
        <w:t xml:space="preserve"> tumors. </w:t>
      </w:r>
      <w:r>
        <w:rPr>
          <w:bCs/>
        </w:rPr>
        <w:t>Mice bearing established syngeneic MOC-2 tumors</w:t>
      </w:r>
      <w:r w:rsidRPr="0015408B">
        <w:rPr>
          <w:bCs/>
        </w:rPr>
        <w:t xml:space="preserve"> were treated </w:t>
      </w:r>
      <w:r>
        <w:t xml:space="preserve">with </w:t>
      </w:r>
      <w:r w:rsidRPr="00E01754">
        <w:rPr>
          <w:color w:val="000000"/>
          <w:kern w:val="24"/>
        </w:rPr>
        <w:t xml:space="preserve">CRT </w:t>
      </w:r>
      <w:r>
        <w:t>(</w:t>
      </w:r>
      <w:r w:rsidRPr="00DA6AD4">
        <w:t>10 X 3Gy daily</w:t>
      </w:r>
      <w:r>
        <w:t xml:space="preserve"> tumor-directed radiation and</w:t>
      </w:r>
      <w:r w:rsidRPr="00DA6AD4">
        <w:t xml:space="preserve"> 83</w:t>
      </w:r>
      <w:r>
        <w:t xml:space="preserve"> µ</w:t>
      </w:r>
      <w:r w:rsidRPr="00DA6AD4">
        <w:t>g/mouse</w:t>
      </w:r>
      <w:r>
        <w:t xml:space="preserve"> </w:t>
      </w:r>
      <w:r w:rsidRPr="00DA6AD4">
        <w:t>weekly</w:t>
      </w:r>
      <w:r w:rsidRPr="00DA6AD4" w:rsidDel="00A33D1A">
        <w:t xml:space="preserve"> </w:t>
      </w:r>
      <w:r w:rsidRPr="00DA6AD4">
        <w:t>cisplatin</w:t>
      </w:r>
      <w:r>
        <w:t xml:space="preserve"> </w:t>
      </w:r>
      <w:r w:rsidRPr="00DA6AD4">
        <w:t>i.p.</w:t>
      </w:r>
      <w:r>
        <w:t>)</w:t>
      </w:r>
      <w:r w:rsidRPr="00E01754">
        <w:rPr>
          <w:color w:val="000000"/>
          <w:kern w:val="24"/>
        </w:rPr>
        <w:t xml:space="preserve"> and/or CTX/L-NIL immunomodulation (CTX at 2 mg/mouse i.p. and L-NIL at 0.2% in drinking water)</w:t>
      </w:r>
      <w:r w:rsidRPr="0015408B">
        <w:rPr>
          <w:bCs/>
        </w:rPr>
        <w:t xml:space="preserve"> according to the schedule in </w:t>
      </w:r>
      <w:r>
        <w:rPr>
          <w:bCs/>
        </w:rPr>
        <w:t>(</w:t>
      </w:r>
      <w:r w:rsidRPr="0015408B">
        <w:rPr>
          <w:b/>
          <w:bCs/>
        </w:rPr>
        <w:t>A</w:t>
      </w:r>
      <w:r w:rsidRPr="00087402">
        <w:rPr>
          <w:bCs/>
        </w:rPr>
        <w:t>)</w:t>
      </w:r>
      <w:r>
        <w:rPr>
          <w:bCs/>
        </w:rPr>
        <w:t xml:space="preserve">; </w:t>
      </w:r>
      <w:r>
        <w:t>mice were euthanized when tumors reached 225 mm</w:t>
      </w:r>
      <w:r>
        <w:rPr>
          <w:vertAlign w:val="superscript"/>
        </w:rPr>
        <w:t>2</w:t>
      </w:r>
      <w:r w:rsidRPr="00087402">
        <w:rPr>
          <w:bCs/>
        </w:rPr>
        <w:t>.</w:t>
      </w:r>
      <w:r>
        <w:t xml:space="preserve"> (</w:t>
      </w:r>
      <w:r w:rsidRPr="005B10F4">
        <w:rPr>
          <w:b/>
        </w:rPr>
        <w:t>B</w:t>
      </w:r>
      <w:r>
        <w:t xml:space="preserve">) </w:t>
      </w:r>
      <w:r w:rsidRPr="00E01754">
        <w:rPr>
          <w:rFonts w:eastAsia="Calibri"/>
          <w:color w:val="000000"/>
          <w:kern w:val="24"/>
        </w:rPr>
        <w:t xml:space="preserve">Individual tumor </w:t>
      </w:r>
      <w:r>
        <w:rPr>
          <w:rFonts w:eastAsia="Calibri"/>
          <w:color w:val="000000"/>
          <w:kern w:val="24"/>
        </w:rPr>
        <w:t>growth curves</w:t>
      </w:r>
      <w:r w:rsidRPr="00E01754">
        <w:rPr>
          <w:rFonts w:eastAsia="Calibri"/>
          <w:color w:val="000000"/>
          <w:kern w:val="24"/>
        </w:rPr>
        <w:t xml:space="preserve"> shown by treatment group, with each mouse represented as a single line. (</w:t>
      </w:r>
      <w:r w:rsidRPr="00E01754">
        <w:rPr>
          <w:rFonts w:eastAsia="Calibri"/>
          <w:b/>
          <w:color w:val="000000"/>
          <w:kern w:val="24"/>
        </w:rPr>
        <w:t>C</w:t>
      </w:r>
      <w:r w:rsidRPr="00E01754">
        <w:rPr>
          <w:rFonts w:eastAsia="Calibri"/>
          <w:color w:val="000000"/>
          <w:kern w:val="24"/>
        </w:rPr>
        <w:t>) Average tumor area until time of first euthan</w:t>
      </w:r>
      <w:r>
        <w:rPr>
          <w:rFonts w:eastAsia="Calibri"/>
          <w:color w:val="000000"/>
          <w:kern w:val="24"/>
        </w:rPr>
        <w:t>asia</w:t>
      </w:r>
      <w:r w:rsidRPr="00E01754">
        <w:rPr>
          <w:rFonts w:eastAsia="Calibri"/>
          <w:color w:val="000000"/>
          <w:kern w:val="24"/>
        </w:rPr>
        <w:t xml:space="preserve"> in treated groups, statistical comparison was done at day 34 (</w:t>
      </w:r>
      <w:r w:rsidRPr="00E01754">
        <w:rPr>
          <w:color w:val="000000"/>
          <w:kern w:val="24"/>
        </w:rPr>
        <w:t>Tukey’s multiple comparison test). (</w:t>
      </w:r>
      <w:r w:rsidRPr="00E01754">
        <w:rPr>
          <w:rFonts w:eastAsia="Calibri"/>
          <w:b/>
          <w:bCs/>
          <w:color w:val="000000"/>
          <w:kern w:val="24"/>
        </w:rPr>
        <w:t>D</w:t>
      </w:r>
      <w:r w:rsidRPr="00E01754">
        <w:rPr>
          <w:rFonts w:eastAsia="Calibri"/>
          <w:bCs/>
          <w:color w:val="000000"/>
          <w:kern w:val="24"/>
        </w:rPr>
        <w:t xml:space="preserve">) </w:t>
      </w:r>
      <w:r w:rsidRPr="00E01754">
        <w:rPr>
          <w:rFonts w:eastAsia="Calibri"/>
          <w:color w:val="000000"/>
          <w:kern w:val="24"/>
        </w:rPr>
        <w:t>Survival curves between treatment groups (</w:t>
      </w:r>
      <w:r w:rsidRPr="00E01754">
        <w:rPr>
          <w:color w:val="000000"/>
          <w:kern w:val="24"/>
        </w:rPr>
        <w:t>Log-rank test). (</w:t>
      </w:r>
      <w:r w:rsidRPr="00E01754">
        <w:rPr>
          <w:b/>
          <w:color w:val="000000"/>
          <w:kern w:val="24"/>
        </w:rPr>
        <w:t>B</w:t>
      </w:r>
      <w:r w:rsidRPr="00E01754">
        <w:rPr>
          <w:color w:val="000000"/>
          <w:kern w:val="24"/>
        </w:rPr>
        <w:t>-</w:t>
      </w:r>
      <w:r w:rsidRPr="00E01754">
        <w:rPr>
          <w:b/>
          <w:color w:val="000000"/>
          <w:kern w:val="24"/>
        </w:rPr>
        <w:t>D</w:t>
      </w:r>
      <w:r w:rsidRPr="00E01754">
        <w:rPr>
          <w:color w:val="000000"/>
          <w:kern w:val="24"/>
        </w:rPr>
        <w:t>; N=2; n=17-19/group)</w:t>
      </w:r>
      <w:r w:rsidRPr="00E01754">
        <w:rPr>
          <w:color w:val="000000"/>
          <w:kern w:val="24"/>
          <w:lang w:val="fr-BE"/>
        </w:rPr>
        <w:t>.</w:t>
      </w:r>
      <w:r w:rsidRPr="00E01754">
        <w:rPr>
          <w:color w:val="000000"/>
          <w:kern w:val="24"/>
        </w:rPr>
        <w:t xml:space="preserve"> **</w:t>
      </w:r>
      <w:r w:rsidRPr="00E01754">
        <w:rPr>
          <w:i/>
          <w:iCs/>
          <w:color w:val="000000"/>
          <w:kern w:val="24"/>
        </w:rPr>
        <w:t>p</w:t>
      </w:r>
      <w:r w:rsidRPr="00E01754">
        <w:rPr>
          <w:color w:val="000000"/>
          <w:kern w:val="24"/>
        </w:rPr>
        <w:t> &lt; 0.01; ***</w:t>
      </w:r>
      <w:r w:rsidRPr="00E01754">
        <w:rPr>
          <w:i/>
          <w:iCs/>
          <w:color w:val="000000"/>
          <w:kern w:val="24"/>
        </w:rPr>
        <w:t>p</w:t>
      </w:r>
      <w:r w:rsidRPr="00E01754">
        <w:rPr>
          <w:color w:val="000000"/>
          <w:kern w:val="24"/>
        </w:rPr>
        <w:t> &lt; 0.001; ****</w:t>
      </w:r>
      <w:r w:rsidRPr="00E01754">
        <w:rPr>
          <w:i/>
          <w:iCs/>
          <w:color w:val="000000"/>
          <w:kern w:val="24"/>
        </w:rPr>
        <w:t>p</w:t>
      </w:r>
      <w:r w:rsidRPr="00E01754">
        <w:rPr>
          <w:color w:val="000000"/>
          <w:kern w:val="24"/>
        </w:rPr>
        <w:t> &lt; 0.0001; ns, not significant.</w:t>
      </w:r>
    </w:p>
    <w:p w:rsidR="008D02BF" w:rsidRPr="005F5571" w:rsidRDefault="008D02BF" w:rsidP="008D02BF">
      <w:pPr>
        <w:pStyle w:val="NormalWeb"/>
        <w:spacing w:after="150" w:line="480" w:lineRule="auto"/>
        <w:jc w:val="both"/>
        <w:rPr>
          <w:color w:val="000000"/>
          <w:kern w:val="24"/>
        </w:rPr>
      </w:pPr>
      <w:r w:rsidRPr="00E01754">
        <w:rPr>
          <w:b/>
          <w:bCs/>
          <w:color w:val="000000"/>
          <w:kern w:val="24"/>
        </w:rPr>
        <w:t xml:space="preserve">Fig. S4. </w:t>
      </w:r>
      <w:r w:rsidRPr="000E1822">
        <w:rPr>
          <w:b/>
          <w:bCs/>
          <w:color w:val="000000"/>
          <w:kern w:val="24"/>
        </w:rPr>
        <w:t>Gating strategy for myeloid sub-types and inflammatory monocyte phenotyping</w:t>
      </w:r>
      <w:r w:rsidRPr="000E1822">
        <w:rPr>
          <w:color w:val="000000"/>
          <w:kern w:val="24"/>
        </w:rPr>
        <w:t>.</w:t>
      </w:r>
      <w:r w:rsidRPr="00E01754">
        <w:rPr>
          <w:color w:val="000000"/>
          <w:kern w:val="24"/>
        </w:rPr>
        <w:t xml:space="preserve"> </w:t>
      </w:r>
      <w:r>
        <w:rPr>
          <w:color w:val="000000"/>
          <w:kern w:val="24"/>
        </w:rPr>
        <w:t>(</w:t>
      </w:r>
      <w:r w:rsidRPr="0043395D">
        <w:rPr>
          <w:b/>
          <w:color w:val="000000"/>
          <w:kern w:val="24"/>
        </w:rPr>
        <w:t>A</w:t>
      </w:r>
      <w:r>
        <w:rPr>
          <w:color w:val="000000"/>
          <w:kern w:val="24"/>
        </w:rPr>
        <w:t xml:space="preserve">) </w:t>
      </w:r>
      <w:r w:rsidRPr="00E01754">
        <w:rPr>
          <w:color w:val="000000"/>
          <w:kern w:val="24"/>
        </w:rPr>
        <w:t xml:space="preserve">Cell suspensions from spleens, draining lymph nodes and tumors were first gated using Side </w:t>
      </w:r>
      <w:r w:rsidRPr="00E01754">
        <w:rPr>
          <w:color w:val="000000"/>
          <w:kern w:val="24"/>
        </w:rPr>
        <w:lastRenderedPageBreak/>
        <w:t>Scatter (SSC) and Forward Scatter (FSC), then selected for singlet population (FSC-H vs FSC-A), viable cells (</w:t>
      </w:r>
      <w:r w:rsidRPr="006A1001">
        <w:t>LIVE/DEAD</w:t>
      </w:r>
      <w:r w:rsidRPr="006A1001">
        <w:rPr>
          <w:vertAlign w:val="superscript"/>
        </w:rPr>
        <w:t>TM</w:t>
      </w:r>
      <w:r w:rsidRPr="006A1001">
        <w:t xml:space="preserve"> Fixable Blue Dead Cell Stain Kit</w:t>
      </w:r>
      <w:r w:rsidRPr="00E01754">
        <w:rPr>
          <w:color w:val="000000"/>
          <w:kern w:val="24"/>
        </w:rPr>
        <w:t>), leukocytes (CD45), myeloid cells (CD11b</w:t>
      </w:r>
      <w:r w:rsidRPr="00E01754">
        <w:rPr>
          <w:color w:val="000000"/>
          <w:kern w:val="24"/>
          <w:vertAlign w:val="superscript"/>
        </w:rPr>
        <w:t>+</w:t>
      </w:r>
      <w:r w:rsidRPr="00E01754">
        <w:rPr>
          <w:color w:val="000000"/>
          <w:kern w:val="24"/>
        </w:rPr>
        <w:t xml:space="preserve"> and/or CD11c</w:t>
      </w:r>
      <w:r w:rsidRPr="00E01754">
        <w:rPr>
          <w:color w:val="000000"/>
          <w:kern w:val="24"/>
          <w:vertAlign w:val="superscript"/>
        </w:rPr>
        <w:t>+</w:t>
      </w:r>
      <w:r w:rsidRPr="00E01754">
        <w:rPr>
          <w:color w:val="000000"/>
          <w:kern w:val="24"/>
        </w:rPr>
        <w:t>) and dendritic cells (CD11c</w:t>
      </w:r>
      <w:r w:rsidRPr="00E01754">
        <w:rPr>
          <w:color w:val="000000"/>
          <w:kern w:val="24"/>
          <w:vertAlign w:val="superscript"/>
        </w:rPr>
        <w:t xml:space="preserve">+ </w:t>
      </w:r>
      <w:r w:rsidRPr="00E01754">
        <w:rPr>
          <w:color w:val="000000"/>
          <w:kern w:val="24"/>
        </w:rPr>
        <w:t>and MHCII</w:t>
      </w:r>
      <w:r w:rsidRPr="00E01754">
        <w:rPr>
          <w:color w:val="000000"/>
          <w:kern w:val="24"/>
          <w:vertAlign w:val="superscript"/>
        </w:rPr>
        <w:t>+</w:t>
      </w:r>
      <w:r w:rsidRPr="00E01754">
        <w:rPr>
          <w:color w:val="000000"/>
          <w:kern w:val="24"/>
        </w:rPr>
        <w:t>) or myeloid derived suppressor cells (MDSC; CD11b</w:t>
      </w:r>
      <w:r w:rsidRPr="00E01754">
        <w:rPr>
          <w:color w:val="000000"/>
          <w:kern w:val="24"/>
          <w:vertAlign w:val="superscript"/>
        </w:rPr>
        <w:t>+</w:t>
      </w:r>
      <w:r w:rsidRPr="00E01754">
        <w:rPr>
          <w:color w:val="000000"/>
          <w:kern w:val="24"/>
        </w:rPr>
        <w:t xml:space="preserve"> and Ly6G</w:t>
      </w:r>
      <w:r w:rsidRPr="00E01754">
        <w:rPr>
          <w:color w:val="000000"/>
          <w:kern w:val="24"/>
          <w:vertAlign w:val="superscript"/>
        </w:rPr>
        <w:t>+</w:t>
      </w:r>
      <w:r w:rsidRPr="00E01754">
        <w:rPr>
          <w:color w:val="000000"/>
          <w:kern w:val="24"/>
        </w:rPr>
        <w:t>). Among non-MDSCs (CD11b</w:t>
      </w:r>
      <w:r w:rsidRPr="00E01754">
        <w:rPr>
          <w:color w:val="000000"/>
          <w:kern w:val="24"/>
          <w:vertAlign w:val="superscript"/>
        </w:rPr>
        <w:t>+</w:t>
      </w:r>
      <w:r w:rsidRPr="00E01754">
        <w:rPr>
          <w:color w:val="000000"/>
          <w:kern w:val="24"/>
        </w:rPr>
        <w:t xml:space="preserve"> and Ly6G</w:t>
      </w:r>
      <w:r w:rsidRPr="00E01754">
        <w:rPr>
          <w:color w:val="000000"/>
          <w:kern w:val="24"/>
          <w:vertAlign w:val="superscript"/>
        </w:rPr>
        <w:t>-</w:t>
      </w:r>
      <w:r w:rsidRPr="00E01754">
        <w:rPr>
          <w:color w:val="000000"/>
          <w:kern w:val="24"/>
        </w:rPr>
        <w:t xml:space="preserve">), cells were gated on inflammatory </w:t>
      </w:r>
      <w:r>
        <w:rPr>
          <w:color w:val="000000"/>
          <w:kern w:val="24"/>
        </w:rPr>
        <w:t>monocytes</w:t>
      </w:r>
      <w:r w:rsidRPr="00E01754">
        <w:rPr>
          <w:color w:val="000000"/>
          <w:kern w:val="24"/>
        </w:rPr>
        <w:t xml:space="preserve"> (</w:t>
      </w:r>
      <w:r>
        <w:rPr>
          <w:color w:val="000000"/>
          <w:kern w:val="24"/>
        </w:rPr>
        <w:t>MHCII</w:t>
      </w:r>
      <w:r w:rsidRPr="000321C1">
        <w:rPr>
          <w:color w:val="000000"/>
          <w:kern w:val="24"/>
          <w:vertAlign w:val="superscript"/>
        </w:rPr>
        <w:t>low</w:t>
      </w:r>
      <w:r>
        <w:rPr>
          <w:color w:val="000000"/>
          <w:kern w:val="24"/>
        </w:rPr>
        <w:t xml:space="preserve"> and</w:t>
      </w:r>
      <w:r w:rsidRPr="00E01754">
        <w:rPr>
          <w:color w:val="000000"/>
          <w:kern w:val="24"/>
        </w:rPr>
        <w:t xml:space="preserve"> Ly6C</w:t>
      </w:r>
      <w:r w:rsidRPr="00E01754">
        <w:rPr>
          <w:color w:val="000000"/>
          <w:kern w:val="24"/>
          <w:vertAlign w:val="superscript"/>
        </w:rPr>
        <w:t>+</w:t>
      </w:r>
      <w:r w:rsidRPr="00E01754">
        <w:rPr>
          <w:color w:val="000000"/>
          <w:kern w:val="24"/>
        </w:rPr>
        <w:t>). Among non-i</w:t>
      </w:r>
      <w:r>
        <w:rPr>
          <w:color w:val="000000"/>
          <w:kern w:val="24"/>
        </w:rPr>
        <w:t>nflammatory monocytes</w:t>
      </w:r>
      <w:r w:rsidRPr="00E01754">
        <w:rPr>
          <w:color w:val="000000"/>
          <w:kern w:val="24"/>
        </w:rPr>
        <w:t xml:space="preserve"> (Ly6C</w:t>
      </w:r>
      <w:r w:rsidRPr="00E01754">
        <w:rPr>
          <w:color w:val="000000"/>
          <w:kern w:val="24"/>
          <w:vertAlign w:val="superscript"/>
        </w:rPr>
        <w:t>-</w:t>
      </w:r>
      <w:r w:rsidRPr="00E01754">
        <w:rPr>
          <w:color w:val="000000"/>
          <w:kern w:val="24"/>
        </w:rPr>
        <w:t>), cells were gated on tumor-associated macrophages (TAMs; Ly6C</w:t>
      </w:r>
      <w:r w:rsidRPr="00E01754">
        <w:rPr>
          <w:color w:val="000000"/>
          <w:kern w:val="24"/>
          <w:vertAlign w:val="superscript"/>
        </w:rPr>
        <w:t>-</w:t>
      </w:r>
      <w:r w:rsidRPr="00E01754">
        <w:rPr>
          <w:color w:val="000000"/>
          <w:kern w:val="24"/>
        </w:rPr>
        <w:t xml:space="preserve"> and F4/80</w:t>
      </w:r>
      <w:r w:rsidRPr="00E01754">
        <w:rPr>
          <w:color w:val="000000"/>
          <w:kern w:val="24"/>
          <w:vertAlign w:val="superscript"/>
        </w:rPr>
        <w:t>+</w:t>
      </w:r>
      <w:r w:rsidRPr="00E01754">
        <w:rPr>
          <w:color w:val="000000"/>
          <w:kern w:val="24"/>
        </w:rPr>
        <w:t>). Among TAMs, cells were selected for M1</w:t>
      </w:r>
      <w:r>
        <w:rPr>
          <w:color w:val="000000"/>
          <w:kern w:val="24"/>
        </w:rPr>
        <w:t>-like</w:t>
      </w:r>
      <w:r w:rsidRPr="00E01754">
        <w:rPr>
          <w:color w:val="000000"/>
          <w:kern w:val="24"/>
        </w:rPr>
        <w:t xml:space="preserve"> macrophages (M1</w:t>
      </w:r>
      <w:r>
        <w:rPr>
          <w:color w:val="000000"/>
          <w:kern w:val="24"/>
        </w:rPr>
        <w:t>-like</w:t>
      </w:r>
      <w:r w:rsidRPr="00E01754">
        <w:rPr>
          <w:color w:val="000000"/>
          <w:kern w:val="24"/>
        </w:rPr>
        <w:t>; MHCII</w:t>
      </w:r>
      <w:r w:rsidRPr="00E01754">
        <w:rPr>
          <w:color w:val="000000"/>
          <w:kern w:val="24"/>
          <w:vertAlign w:val="superscript"/>
        </w:rPr>
        <w:t>+</w:t>
      </w:r>
      <w:r w:rsidRPr="00E01754">
        <w:rPr>
          <w:color w:val="000000"/>
          <w:kern w:val="24"/>
        </w:rPr>
        <w:t>) and M2</w:t>
      </w:r>
      <w:r>
        <w:rPr>
          <w:color w:val="000000"/>
          <w:kern w:val="24"/>
        </w:rPr>
        <w:t>-like</w:t>
      </w:r>
      <w:r w:rsidRPr="00E01754">
        <w:rPr>
          <w:color w:val="000000"/>
          <w:kern w:val="24"/>
        </w:rPr>
        <w:t xml:space="preserve"> macrophages (MHCII</w:t>
      </w:r>
      <w:r w:rsidRPr="00E01754">
        <w:rPr>
          <w:color w:val="000000"/>
          <w:kern w:val="24"/>
          <w:vertAlign w:val="superscript"/>
        </w:rPr>
        <w:t>-</w:t>
      </w:r>
      <w:r w:rsidRPr="00E01754">
        <w:rPr>
          <w:color w:val="000000"/>
          <w:kern w:val="24"/>
        </w:rPr>
        <w:t>).</w:t>
      </w:r>
      <w:r>
        <w:rPr>
          <w:color w:val="000000"/>
          <w:kern w:val="24"/>
        </w:rPr>
        <w:t xml:space="preserve"> (</w:t>
      </w:r>
      <w:r w:rsidRPr="0043395D">
        <w:rPr>
          <w:b/>
          <w:color w:val="000000"/>
          <w:kern w:val="24"/>
        </w:rPr>
        <w:t>B</w:t>
      </w:r>
      <w:r>
        <w:rPr>
          <w:color w:val="000000"/>
          <w:kern w:val="24"/>
        </w:rPr>
        <w:t xml:space="preserve">) </w:t>
      </w:r>
      <w:r w:rsidRPr="000E1822">
        <w:rPr>
          <w:bCs/>
        </w:rPr>
        <w:t>Representative flow cytometry histograms showing MHCII, CD11c, Ly6G, F4/80, CX3CR1, CCR2 and iNOS expression among inflammatory monocytes in tumors expressed as the % of the maximum count. FMO (Fluorescence minus one) is a mixture of all antibodies permitting inflammatory monocyte identification without the phenotypical marker of interest (N=2; n=24-39).</w:t>
      </w:r>
      <w:r>
        <w:rPr>
          <w:bCs/>
        </w:rPr>
        <w:t xml:space="preserve"> </w:t>
      </w:r>
    </w:p>
    <w:p w:rsidR="008D02BF" w:rsidRPr="00E01754" w:rsidRDefault="008D02BF" w:rsidP="008D02BF">
      <w:pPr>
        <w:pStyle w:val="NormalWeb"/>
        <w:spacing w:before="0" w:beforeAutospacing="0" w:after="150" w:afterAutospacing="0" w:line="480" w:lineRule="auto"/>
        <w:jc w:val="both"/>
        <w:rPr>
          <w:color w:val="000000"/>
          <w:kern w:val="24"/>
        </w:rPr>
      </w:pPr>
      <w:r w:rsidRPr="00E01754">
        <w:rPr>
          <w:b/>
          <w:bCs/>
          <w:color w:val="000000"/>
          <w:kern w:val="24"/>
        </w:rPr>
        <w:t xml:space="preserve">Fig. S5. Systemic myeloid effects induced by CRT+CTX/L-NIL. </w:t>
      </w:r>
      <w:r>
        <w:rPr>
          <w:bCs/>
        </w:rPr>
        <w:t>dLNs and spleens</w:t>
      </w:r>
      <w:r w:rsidRPr="0015408B">
        <w:rPr>
          <w:bCs/>
        </w:rPr>
        <w:t xml:space="preserve"> were harvested on the day after the first week</w:t>
      </w:r>
      <w:r>
        <w:rPr>
          <w:bCs/>
        </w:rPr>
        <w:t xml:space="preserve"> of treatment</w:t>
      </w:r>
      <w:r w:rsidRPr="0015408B">
        <w:rPr>
          <w:bCs/>
        </w:rPr>
        <w:t xml:space="preserve">. </w:t>
      </w:r>
      <w:r>
        <w:rPr>
          <w:bCs/>
        </w:rPr>
        <w:t>Myeloid subtypes</w:t>
      </w:r>
      <w:r w:rsidRPr="0015408B">
        <w:rPr>
          <w:bCs/>
        </w:rPr>
        <w:t xml:space="preserve"> were analyzed by flow cytometry</w:t>
      </w:r>
      <w:r>
        <w:rPr>
          <w:bCs/>
        </w:rPr>
        <w:t xml:space="preserve"> according to the gating strategy shown in Fig S4</w:t>
      </w:r>
      <w:r w:rsidRPr="0015408B">
        <w:rPr>
          <w:bCs/>
        </w:rPr>
        <w:t>.</w:t>
      </w:r>
      <w:r>
        <w:rPr>
          <w:bCs/>
        </w:rPr>
        <w:t xml:space="preserve"> (</w:t>
      </w:r>
      <w:r w:rsidRPr="00D872AA">
        <w:rPr>
          <w:b/>
          <w:bCs/>
        </w:rPr>
        <w:t>A-</w:t>
      </w:r>
      <w:r>
        <w:rPr>
          <w:b/>
          <w:bCs/>
        </w:rPr>
        <w:t>D</w:t>
      </w:r>
      <w:r>
        <w:rPr>
          <w:bCs/>
        </w:rPr>
        <w:t>) Percentage of myeloid sub-types among total myeloid cell dLN infiltrate (CD11b+ and/or CD11c+), including dendritic cells (</w:t>
      </w:r>
      <w:r w:rsidRPr="00D872AA">
        <w:rPr>
          <w:b/>
          <w:bCs/>
        </w:rPr>
        <w:t>A</w:t>
      </w:r>
      <w:r>
        <w:rPr>
          <w:bCs/>
        </w:rPr>
        <w:t>), inflammatory monocytes (</w:t>
      </w:r>
      <w:r>
        <w:rPr>
          <w:b/>
          <w:bCs/>
        </w:rPr>
        <w:t>B</w:t>
      </w:r>
      <w:r>
        <w:rPr>
          <w:bCs/>
        </w:rPr>
        <w:t>), MDSCs (</w:t>
      </w:r>
      <w:r>
        <w:rPr>
          <w:b/>
          <w:bCs/>
        </w:rPr>
        <w:t>C</w:t>
      </w:r>
      <w:r>
        <w:rPr>
          <w:bCs/>
        </w:rPr>
        <w:t>), macrophages (</w:t>
      </w:r>
      <w:r>
        <w:rPr>
          <w:b/>
          <w:bCs/>
        </w:rPr>
        <w:t>D</w:t>
      </w:r>
      <w:r>
        <w:rPr>
          <w:bCs/>
        </w:rPr>
        <w:t>). (</w:t>
      </w:r>
      <w:r w:rsidRPr="0015408B">
        <w:rPr>
          <w:bCs/>
        </w:rPr>
        <w:t>N=3</w:t>
      </w:r>
      <w:r>
        <w:rPr>
          <w:bCs/>
        </w:rPr>
        <w:t xml:space="preserve">; n=17-25/group; </w:t>
      </w:r>
      <w:r w:rsidRPr="00E01754">
        <w:rPr>
          <w:color w:val="000000"/>
          <w:kern w:val="24"/>
        </w:rPr>
        <w:t>Tukey’s multiple comparison test</w:t>
      </w:r>
      <w:r>
        <w:rPr>
          <w:bCs/>
        </w:rPr>
        <w:t xml:space="preserve"> for MDSCs) and </w:t>
      </w:r>
      <w:r w:rsidRPr="0015408B">
        <w:rPr>
          <w:bCs/>
        </w:rPr>
        <w:t>Dunn’s multiple comparison test</w:t>
      </w:r>
      <w:r>
        <w:rPr>
          <w:bCs/>
        </w:rPr>
        <w:t xml:space="preserve"> for dendritic cells, inflammatory monocytes and macrophages)</w:t>
      </w:r>
      <w:r w:rsidRPr="0015408B">
        <w:rPr>
          <w:bCs/>
        </w:rPr>
        <w:t>.</w:t>
      </w:r>
      <w:r w:rsidRPr="00736F45">
        <w:rPr>
          <w:bCs/>
        </w:rPr>
        <w:t xml:space="preserve"> </w:t>
      </w:r>
      <w:r>
        <w:rPr>
          <w:bCs/>
        </w:rPr>
        <w:t>(</w:t>
      </w:r>
      <w:r>
        <w:rPr>
          <w:b/>
          <w:bCs/>
        </w:rPr>
        <w:t>E-H</w:t>
      </w:r>
      <w:r>
        <w:rPr>
          <w:bCs/>
        </w:rPr>
        <w:t>) Percentage of myeloid sub-types among total myeloid cell splenic infiltrate (CD11b+ and/or CD11c+), including dendritic cells (</w:t>
      </w:r>
      <w:r>
        <w:rPr>
          <w:b/>
          <w:bCs/>
        </w:rPr>
        <w:t>E</w:t>
      </w:r>
      <w:r>
        <w:rPr>
          <w:bCs/>
        </w:rPr>
        <w:t>), inflammatory monocytes (</w:t>
      </w:r>
      <w:r>
        <w:rPr>
          <w:b/>
          <w:bCs/>
        </w:rPr>
        <w:t>F</w:t>
      </w:r>
      <w:r>
        <w:rPr>
          <w:bCs/>
        </w:rPr>
        <w:t>), MDSCs (</w:t>
      </w:r>
      <w:r>
        <w:rPr>
          <w:b/>
          <w:bCs/>
        </w:rPr>
        <w:t>G</w:t>
      </w:r>
      <w:r>
        <w:rPr>
          <w:bCs/>
        </w:rPr>
        <w:t>) and macrophages (</w:t>
      </w:r>
      <w:r>
        <w:rPr>
          <w:b/>
          <w:bCs/>
        </w:rPr>
        <w:t>H</w:t>
      </w:r>
      <w:r>
        <w:rPr>
          <w:bCs/>
        </w:rPr>
        <w:t>). (</w:t>
      </w:r>
      <w:r w:rsidRPr="0015408B">
        <w:rPr>
          <w:bCs/>
        </w:rPr>
        <w:t>N=3</w:t>
      </w:r>
      <w:r>
        <w:rPr>
          <w:bCs/>
        </w:rPr>
        <w:t xml:space="preserve">; n=17-25/group; </w:t>
      </w:r>
      <w:r w:rsidRPr="00E01754">
        <w:rPr>
          <w:color w:val="000000"/>
          <w:kern w:val="24"/>
        </w:rPr>
        <w:t>Tukey’s multiple comparison test</w:t>
      </w:r>
      <w:r>
        <w:rPr>
          <w:bCs/>
        </w:rPr>
        <w:t xml:space="preserve"> for MDSCs) and </w:t>
      </w:r>
      <w:r w:rsidRPr="0015408B">
        <w:rPr>
          <w:bCs/>
        </w:rPr>
        <w:t>Dunn’s multiple comparison test</w:t>
      </w:r>
      <w:r>
        <w:rPr>
          <w:bCs/>
        </w:rPr>
        <w:t xml:space="preserve"> for dendritic </w:t>
      </w:r>
      <w:r>
        <w:rPr>
          <w:bCs/>
        </w:rPr>
        <w:lastRenderedPageBreak/>
        <w:t>cells, inflammatory monocytes and macrophages)</w:t>
      </w:r>
      <w:r w:rsidRPr="0015408B">
        <w:rPr>
          <w:bCs/>
        </w:rPr>
        <w:t>.</w:t>
      </w:r>
      <w:r>
        <w:rPr>
          <w:bCs/>
        </w:rPr>
        <w:t xml:space="preserve"> All graphs show mean +/- SD and each dot represents an individual mouse. </w:t>
      </w:r>
      <w:r w:rsidRPr="00E01754">
        <w:rPr>
          <w:color w:val="000000"/>
          <w:kern w:val="24"/>
        </w:rPr>
        <w:t>*</w:t>
      </w:r>
      <w:r w:rsidRPr="00E01754">
        <w:rPr>
          <w:i/>
          <w:iCs/>
          <w:color w:val="000000"/>
          <w:kern w:val="24"/>
        </w:rPr>
        <w:t xml:space="preserve">p </w:t>
      </w:r>
      <w:r w:rsidRPr="00E01754">
        <w:rPr>
          <w:color w:val="000000"/>
          <w:kern w:val="24"/>
        </w:rPr>
        <w:t>&lt; 0.05; **</w:t>
      </w:r>
      <w:r w:rsidRPr="00E01754">
        <w:rPr>
          <w:i/>
          <w:iCs/>
          <w:color w:val="000000"/>
          <w:kern w:val="24"/>
        </w:rPr>
        <w:t>p</w:t>
      </w:r>
      <w:r w:rsidRPr="00E01754">
        <w:rPr>
          <w:color w:val="000000"/>
          <w:kern w:val="24"/>
        </w:rPr>
        <w:t> &lt; 0.01; ***</w:t>
      </w:r>
      <w:r w:rsidRPr="00E01754">
        <w:rPr>
          <w:i/>
          <w:iCs/>
          <w:color w:val="000000"/>
          <w:kern w:val="24"/>
        </w:rPr>
        <w:t>p</w:t>
      </w:r>
      <w:r w:rsidRPr="00E01754">
        <w:rPr>
          <w:color w:val="000000"/>
          <w:kern w:val="24"/>
        </w:rPr>
        <w:t> &lt; 0.001; ****</w:t>
      </w:r>
      <w:r w:rsidRPr="00E01754">
        <w:rPr>
          <w:i/>
          <w:iCs/>
          <w:color w:val="000000"/>
          <w:kern w:val="24"/>
        </w:rPr>
        <w:t>p</w:t>
      </w:r>
      <w:r w:rsidRPr="00E01754">
        <w:rPr>
          <w:color w:val="000000"/>
          <w:kern w:val="24"/>
        </w:rPr>
        <w:t> &lt; 0.0001.</w:t>
      </w:r>
    </w:p>
    <w:p w:rsidR="008D02BF" w:rsidRPr="00E01754" w:rsidRDefault="008D02BF" w:rsidP="008D02BF">
      <w:pPr>
        <w:pStyle w:val="NormalWeb"/>
        <w:spacing w:after="150" w:line="480" w:lineRule="auto"/>
        <w:jc w:val="both"/>
        <w:rPr>
          <w:color w:val="000000"/>
          <w:kern w:val="24"/>
        </w:rPr>
      </w:pPr>
      <w:r w:rsidRPr="00E01754">
        <w:rPr>
          <w:b/>
          <w:bCs/>
          <w:color w:val="000000"/>
          <w:kern w:val="24"/>
        </w:rPr>
        <w:t>Fig. S6. Gating strategy for lymphocyte sub-types</w:t>
      </w:r>
      <w:r w:rsidRPr="00E01754">
        <w:rPr>
          <w:color w:val="000000"/>
          <w:kern w:val="24"/>
        </w:rPr>
        <w:t>. (</w:t>
      </w:r>
      <w:r w:rsidRPr="00E01754">
        <w:rPr>
          <w:b/>
          <w:color w:val="000000"/>
          <w:kern w:val="24"/>
        </w:rPr>
        <w:t>A</w:t>
      </w:r>
      <w:r w:rsidRPr="00E01754">
        <w:rPr>
          <w:color w:val="000000"/>
          <w:kern w:val="24"/>
        </w:rPr>
        <w:t>). Cell suspensions from spleens, draining lymph nodes and tumors were first gated using Side Scatter (SSC) and Forward Scatter (FSC), then selected for singlet population (FSC-H vs FSC-A), viable cells (</w:t>
      </w:r>
      <w:r w:rsidRPr="006A1001">
        <w:t>LIVE/DEAD</w:t>
      </w:r>
      <w:r w:rsidRPr="006A1001">
        <w:rPr>
          <w:vertAlign w:val="superscript"/>
        </w:rPr>
        <w:t>TM</w:t>
      </w:r>
      <w:r w:rsidRPr="006A1001">
        <w:t xml:space="preserve"> Fixable Blue Dead Cell Stain Kit</w:t>
      </w:r>
      <w:r w:rsidRPr="00E01754">
        <w:rPr>
          <w:color w:val="000000"/>
          <w:kern w:val="24"/>
        </w:rPr>
        <w:t>), leukocytes (CD45) and T cells (TcR</w:t>
      </w:r>
      <w:r w:rsidRPr="00E01754">
        <w:rPr>
          <w:color w:val="000000"/>
          <w:kern w:val="24"/>
        </w:rPr>
        <w:sym w:font="Symbol" w:char="F062"/>
      </w:r>
      <w:r w:rsidRPr="00E01754">
        <w:rPr>
          <w:color w:val="000000"/>
          <w:kern w:val="24"/>
          <w:vertAlign w:val="superscript"/>
        </w:rPr>
        <w:t>+</w:t>
      </w:r>
      <w:r w:rsidRPr="00E01754">
        <w:rPr>
          <w:color w:val="000000"/>
          <w:kern w:val="24"/>
        </w:rPr>
        <w:t>). Among T cells, cells were gated on CD8</w:t>
      </w:r>
      <w:r w:rsidRPr="00C82798">
        <w:rPr>
          <w:vertAlign w:val="superscript"/>
        </w:rPr>
        <w:t>+</w:t>
      </w:r>
      <w:r w:rsidRPr="00E01754">
        <w:rPr>
          <w:color w:val="000000"/>
          <w:kern w:val="24"/>
        </w:rPr>
        <w:t xml:space="preserve"> T cells (CD8</w:t>
      </w:r>
      <w:r w:rsidRPr="00E01754">
        <w:rPr>
          <w:color w:val="000000"/>
          <w:kern w:val="24"/>
        </w:rPr>
        <w:sym w:font="Symbol" w:char="F061"/>
      </w:r>
      <w:r w:rsidRPr="00E01754">
        <w:rPr>
          <w:color w:val="000000"/>
          <w:kern w:val="24"/>
          <w:vertAlign w:val="superscript"/>
        </w:rPr>
        <w:t>+</w:t>
      </w:r>
      <w:r w:rsidRPr="00E01754">
        <w:rPr>
          <w:color w:val="000000"/>
          <w:kern w:val="24"/>
        </w:rPr>
        <w:t>) and CD4</w:t>
      </w:r>
      <w:r w:rsidRPr="00C82798">
        <w:rPr>
          <w:vertAlign w:val="superscript"/>
        </w:rPr>
        <w:t>+</w:t>
      </w:r>
      <w:r w:rsidRPr="00E01754">
        <w:rPr>
          <w:color w:val="000000"/>
          <w:kern w:val="24"/>
        </w:rPr>
        <w:t xml:space="preserve"> T cells (CD4</w:t>
      </w:r>
      <w:r w:rsidRPr="00E01754">
        <w:rPr>
          <w:color w:val="000000"/>
          <w:kern w:val="24"/>
          <w:vertAlign w:val="superscript"/>
        </w:rPr>
        <w:t>+</w:t>
      </w:r>
      <w:r w:rsidRPr="00E01754">
        <w:rPr>
          <w:color w:val="000000"/>
          <w:kern w:val="24"/>
        </w:rPr>
        <w:t>). Among CD4</w:t>
      </w:r>
      <w:r w:rsidRPr="00C82798">
        <w:rPr>
          <w:vertAlign w:val="superscript"/>
        </w:rPr>
        <w:t>+</w:t>
      </w:r>
      <w:r w:rsidRPr="00E01754">
        <w:rPr>
          <w:color w:val="000000"/>
          <w:kern w:val="24"/>
        </w:rPr>
        <w:t xml:space="preserve"> T cells, cells were gated Foxp3</w:t>
      </w:r>
      <w:r w:rsidRPr="00E01754">
        <w:rPr>
          <w:color w:val="000000"/>
          <w:kern w:val="24"/>
          <w:vertAlign w:val="superscript"/>
        </w:rPr>
        <w:t>-</w:t>
      </w:r>
      <w:r w:rsidRPr="00E01754">
        <w:rPr>
          <w:color w:val="000000"/>
          <w:kern w:val="24"/>
        </w:rPr>
        <w:t xml:space="preserve"> cells (described as CD4</w:t>
      </w:r>
      <w:r w:rsidRPr="00C82798">
        <w:rPr>
          <w:vertAlign w:val="superscript"/>
        </w:rPr>
        <w:t>+</w:t>
      </w:r>
      <w:r w:rsidRPr="00E01754">
        <w:rPr>
          <w:color w:val="000000"/>
          <w:kern w:val="24"/>
        </w:rPr>
        <w:t xml:space="preserve"> T cells in this paper) and Foxp3</w:t>
      </w:r>
      <w:r w:rsidRPr="00E01754">
        <w:rPr>
          <w:color w:val="000000"/>
          <w:kern w:val="24"/>
          <w:vertAlign w:val="superscript"/>
        </w:rPr>
        <w:t>+</w:t>
      </w:r>
      <w:r w:rsidRPr="00E01754">
        <w:rPr>
          <w:color w:val="000000"/>
          <w:kern w:val="24"/>
        </w:rPr>
        <w:t xml:space="preserve"> cells (described as regulatory T cells in this paper). (</w:t>
      </w:r>
      <w:r w:rsidRPr="00E01754">
        <w:rPr>
          <w:b/>
          <w:color w:val="000000"/>
          <w:kern w:val="24"/>
        </w:rPr>
        <w:t>B</w:t>
      </w:r>
      <w:r w:rsidRPr="00E01754">
        <w:rPr>
          <w:color w:val="000000"/>
          <w:kern w:val="24"/>
        </w:rPr>
        <w:t>) In tumors, E7-tetramer</w:t>
      </w:r>
      <w:r w:rsidRPr="00E01754">
        <w:rPr>
          <w:color w:val="000000"/>
          <w:kern w:val="24"/>
          <w:vertAlign w:val="superscript"/>
        </w:rPr>
        <w:t>+</w:t>
      </w:r>
      <w:r w:rsidRPr="00E01754">
        <w:rPr>
          <w:color w:val="000000"/>
          <w:kern w:val="24"/>
        </w:rPr>
        <w:t xml:space="preserve"> cells were gated among CD8</w:t>
      </w:r>
      <w:r w:rsidRPr="00C82798">
        <w:rPr>
          <w:vertAlign w:val="superscript"/>
        </w:rPr>
        <w:t>+</w:t>
      </w:r>
      <w:r w:rsidRPr="00E01754">
        <w:rPr>
          <w:color w:val="000000"/>
          <w:kern w:val="24"/>
        </w:rPr>
        <w:t xml:space="preserve"> T cell population. Flow graphs show the percentage of E7-tetramer</w:t>
      </w:r>
      <w:r w:rsidRPr="00E01754">
        <w:rPr>
          <w:color w:val="000000"/>
          <w:kern w:val="24"/>
          <w:vertAlign w:val="superscript"/>
        </w:rPr>
        <w:t>+</w:t>
      </w:r>
      <w:r w:rsidRPr="00E01754">
        <w:rPr>
          <w:color w:val="000000"/>
          <w:kern w:val="24"/>
        </w:rPr>
        <w:t xml:space="preserve"> CD8</w:t>
      </w:r>
      <w:r w:rsidRPr="00E01754">
        <w:rPr>
          <w:color w:val="000000"/>
          <w:kern w:val="24"/>
          <w:vertAlign w:val="superscript"/>
        </w:rPr>
        <w:t>+</w:t>
      </w:r>
      <w:r w:rsidRPr="00E01754">
        <w:rPr>
          <w:color w:val="000000"/>
          <w:kern w:val="24"/>
        </w:rPr>
        <w:t xml:space="preserve"> T cells for each treatment. Control staining (left plot) had all other </w:t>
      </w:r>
      <w:r>
        <w:rPr>
          <w:bCs/>
        </w:rPr>
        <w:t>antibodies permitting CD8</w:t>
      </w:r>
      <w:r w:rsidRPr="00C82798">
        <w:rPr>
          <w:vertAlign w:val="superscript"/>
        </w:rPr>
        <w:t>+</w:t>
      </w:r>
      <w:r>
        <w:rPr>
          <w:bCs/>
        </w:rPr>
        <w:t xml:space="preserve"> T cell identification </w:t>
      </w:r>
      <w:r w:rsidRPr="00E01754">
        <w:rPr>
          <w:color w:val="000000"/>
          <w:kern w:val="24"/>
        </w:rPr>
        <w:t>without the E7-tetramer.</w:t>
      </w:r>
    </w:p>
    <w:p w:rsidR="008D02BF" w:rsidRPr="00E01754" w:rsidRDefault="008D02BF" w:rsidP="008D02BF">
      <w:pPr>
        <w:pStyle w:val="NormalWeb"/>
        <w:spacing w:before="0" w:beforeAutospacing="0" w:after="150" w:afterAutospacing="0" w:line="480" w:lineRule="auto"/>
        <w:jc w:val="both"/>
        <w:rPr>
          <w:color w:val="000000"/>
          <w:kern w:val="24"/>
        </w:rPr>
      </w:pPr>
      <w:r w:rsidRPr="00E01754">
        <w:rPr>
          <w:b/>
          <w:bCs/>
          <w:color w:val="000000"/>
          <w:kern w:val="24"/>
        </w:rPr>
        <w:t xml:space="preserve">Fig. S7. Systemic lymphoid effects induced by CRT+CTX/L-NIL. </w:t>
      </w:r>
      <w:r>
        <w:rPr>
          <w:bCs/>
        </w:rPr>
        <w:t>dLNs and spleens</w:t>
      </w:r>
      <w:r w:rsidRPr="0015408B">
        <w:rPr>
          <w:bCs/>
        </w:rPr>
        <w:t xml:space="preserve"> were harvested on the day after the first week</w:t>
      </w:r>
      <w:r>
        <w:rPr>
          <w:bCs/>
        </w:rPr>
        <w:t xml:space="preserve"> of treatment</w:t>
      </w:r>
      <w:r w:rsidRPr="0015408B">
        <w:rPr>
          <w:bCs/>
        </w:rPr>
        <w:t xml:space="preserve">. </w:t>
      </w:r>
      <w:r>
        <w:rPr>
          <w:bCs/>
        </w:rPr>
        <w:t>Lymphoid subtypes</w:t>
      </w:r>
      <w:r w:rsidRPr="0015408B">
        <w:rPr>
          <w:bCs/>
        </w:rPr>
        <w:t xml:space="preserve"> were analyzed by flow cytometry</w:t>
      </w:r>
      <w:r>
        <w:rPr>
          <w:bCs/>
        </w:rPr>
        <w:t xml:space="preserve"> according to the gating strategy shown in Fig S6</w:t>
      </w:r>
      <w:r w:rsidRPr="0015408B">
        <w:rPr>
          <w:bCs/>
        </w:rPr>
        <w:t>.</w:t>
      </w:r>
      <w:r>
        <w:rPr>
          <w:bCs/>
        </w:rPr>
        <w:t xml:space="preserve"> (</w:t>
      </w:r>
      <w:r w:rsidRPr="00D872AA">
        <w:rPr>
          <w:b/>
          <w:bCs/>
        </w:rPr>
        <w:t>A-</w:t>
      </w:r>
      <w:r>
        <w:rPr>
          <w:b/>
          <w:bCs/>
        </w:rPr>
        <w:t>C</w:t>
      </w:r>
      <w:r>
        <w:rPr>
          <w:bCs/>
        </w:rPr>
        <w:t>) Percentage of dLN lymphoid sub-types among total lymphocyte dLN infiltrate (</w:t>
      </w:r>
      <w:r w:rsidRPr="00E01754">
        <w:rPr>
          <w:color w:val="000000"/>
          <w:kern w:val="24"/>
        </w:rPr>
        <w:t>TcR</w:t>
      </w:r>
      <w:r w:rsidRPr="00E01754">
        <w:rPr>
          <w:color w:val="000000"/>
          <w:kern w:val="24"/>
        </w:rPr>
        <w:sym w:font="Symbol" w:char="F062"/>
      </w:r>
      <w:r w:rsidRPr="00E01754">
        <w:rPr>
          <w:color w:val="000000"/>
          <w:kern w:val="24"/>
          <w:vertAlign w:val="superscript"/>
        </w:rPr>
        <w:t>+</w:t>
      </w:r>
      <w:r>
        <w:rPr>
          <w:bCs/>
        </w:rPr>
        <w:t>), including CD8</w:t>
      </w:r>
      <w:r w:rsidRPr="00C82798">
        <w:rPr>
          <w:vertAlign w:val="superscript"/>
        </w:rPr>
        <w:t>+</w:t>
      </w:r>
      <w:r>
        <w:rPr>
          <w:bCs/>
        </w:rPr>
        <w:t xml:space="preserve"> T cells (</w:t>
      </w:r>
      <w:r w:rsidRPr="00D872AA">
        <w:rPr>
          <w:b/>
          <w:bCs/>
        </w:rPr>
        <w:t>A</w:t>
      </w:r>
      <w:r>
        <w:rPr>
          <w:bCs/>
        </w:rPr>
        <w:t>), CD4</w:t>
      </w:r>
      <w:r w:rsidRPr="00C82798">
        <w:rPr>
          <w:vertAlign w:val="superscript"/>
        </w:rPr>
        <w:t>+</w:t>
      </w:r>
      <w:r>
        <w:rPr>
          <w:bCs/>
        </w:rPr>
        <w:t xml:space="preserve"> T cells (</w:t>
      </w:r>
      <w:r>
        <w:rPr>
          <w:b/>
          <w:bCs/>
        </w:rPr>
        <w:t>B</w:t>
      </w:r>
      <w:r>
        <w:rPr>
          <w:bCs/>
        </w:rPr>
        <w:t>), and regulatory T cells (</w:t>
      </w:r>
      <w:r>
        <w:rPr>
          <w:b/>
          <w:bCs/>
        </w:rPr>
        <w:t>C</w:t>
      </w:r>
      <w:r>
        <w:rPr>
          <w:bCs/>
        </w:rPr>
        <w:t>). (</w:t>
      </w:r>
      <w:r w:rsidRPr="009D4029">
        <w:rPr>
          <w:b/>
          <w:bCs/>
        </w:rPr>
        <w:t>D</w:t>
      </w:r>
      <w:r>
        <w:rPr>
          <w:bCs/>
        </w:rPr>
        <w:t>) Ratio of CD8</w:t>
      </w:r>
      <w:r w:rsidRPr="00C82798">
        <w:rPr>
          <w:vertAlign w:val="superscript"/>
        </w:rPr>
        <w:t>+</w:t>
      </w:r>
      <w:r>
        <w:rPr>
          <w:bCs/>
        </w:rPr>
        <w:t xml:space="preserve"> T cells/Regulatory T cells. (</w:t>
      </w:r>
      <w:r w:rsidRPr="0015408B">
        <w:rPr>
          <w:bCs/>
        </w:rPr>
        <w:t>N=3</w:t>
      </w:r>
      <w:r>
        <w:rPr>
          <w:bCs/>
        </w:rPr>
        <w:t xml:space="preserve">; n=20-25/group; </w:t>
      </w:r>
      <w:r w:rsidRPr="00E01754">
        <w:rPr>
          <w:color w:val="000000"/>
          <w:kern w:val="24"/>
        </w:rPr>
        <w:t>Tukey’s multiple comparison test</w:t>
      </w:r>
      <w:r>
        <w:rPr>
          <w:bCs/>
        </w:rPr>
        <w:t xml:space="preserve"> for CD8</w:t>
      </w:r>
      <w:r w:rsidRPr="00C82798">
        <w:rPr>
          <w:vertAlign w:val="superscript"/>
        </w:rPr>
        <w:t>+</w:t>
      </w:r>
      <w:r>
        <w:rPr>
          <w:bCs/>
        </w:rPr>
        <w:t xml:space="preserve"> T cells, CD4</w:t>
      </w:r>
      <w:r w:rsidRPr="00C82798">
        <w:rPr>
          <w:vertAlign w:val="superscript"/>
        </w:rPr>
        <w:t>+</w:t>
      </w:r>
      <w:r>
        <w:rPr>
          <w:bCs/>
        </w:rPr>
        <w:t xml:space="preserve"> T cells and ratio CD8</w:t>
      </w:r>
      <w:r w:rsidRPr="00C82798">
        <w:rPr>
          <w:vertAlign w:val="superscript"/>
        </w:rPr>
        <w:t>+</w:t>
      </w:r>
      <w:r>
        <w:rPr>
          <w:bCs/>
        </w:rPr>
        <w:t xml:space="preserve"> T cells/Regulatory T cells and </w:t>
      </w:r>
      <w:r w:rsidRPr="0015408B">
        <w:rPr>
          <w:bCs/>
        </w:rPr>
        <w:t>Dunn’s multiple comparison test</w:t>
      </w:r>
      <w:r>
        <w:rPr>
          <w:bCs/>
        </w:rPr>
        <w:t xml:space="preserve"> for regulatory T cells</w:t>
      </w:r>
      <w:r w:rsidRPr="0015408B">
        <w:rPr>
          <w:bCs/>
        </w:rPr>
        <w:t>.</w:t>
      </w:r>
      <w:r w:rsidRPr="00736F45">
        <w:rPr>
          <w:bCs/>
        </w:rPr>
        <w:t xml:space="preserve"> </w:t>
      </w:r>
      <w:r>
        <w:rPr>
          <w:bCs/>
        </w:rPr>
        <w:t>(</w:t>
      </w:r>
      <w:r>
        <w:rPr>
          <w:b/>
          <w:bCs/>
        </w:rPr>
        <w:t>E</w:t>
      </w:r>
      <w:r w:rsidRPr="00D872AA">
        <w:rPr>
          <w:b/>
          <w:bCs/>
        </w:rPr>
        <w:t>-</w:t>
      </w:r>
      <w:r>
        <w:rPr>
          <w:b/>
          <w:bCs/>
        </w:rPr>
        <w:t>H</w:t>
      </w:r>
      <w:r>
        <w:rPr>
          <w:bCs/>
        </w:rPr>
        <w:t>) Percentage of splenic lymphoid sub-types among total lymphocyte infiltrate (</w:t>
      </w:r>
      <w:r w:rsidRPr="00E01754">
        <w:rPr>
          <w:color w:val="000000"/>
          <w:kern w:val="24"/>
        </w:rPr>
        <w:t>TcR</w:t>
      </w:r>
      <w:r w:rsidRPr="00E01754">
        <w:rPr>
          <w:color w:val="000000"/>
          <w:kern w:val="24"/>
        </w:rPr>
        <w:sym w:font="Symbol" w:char="F062"/>
      </w:r>
      <w:r w:rsidRPr="00E01754">
        <w:rPr>
          <w:color w:val="000000"/>
          <w:kern w:val="24"/>
          <w:vertAlign w:val="superscript"/>
        </w:rPr>
        <w:t>+</w:t>
      </w:r>
      <w:r>
        <w:rPr>
          <w:bCs/>
        </w:rPr>
        <w:t>), including CD8 T cells (</w:t>
      </w:r>
      <w:r>
        <w:rPr>
          <w:b/>
          <w:bCs/>
        </w:rPr>
        <w:t>E</w:t>
      </w:r>
      <w:r>
        <w:rPr>
          <w:bCs/>
        </w:rPr>
        <w:t>), CD4</w:t>
      </w:r>
      <w:r w:rsidRPr="00C82798">
        <w:rPr>
          <w:vertAlign w:val="superscript"/>
        </w:rPr>
        <w:t>+</w:t>
      </w:r>
      <w:r>
        <w:rPr>
          <w:bCs/>
        </w:rPr>
        <w:t xml:space="preserve"> T cells (</w:t>
      </w:r>
      <w:r>
        <w:rPr>
          <w:b/>
          <w:bCs/>
        </w:rPr>
        <w:t>F</w:t>
      </w:r>
      <w:r>
        <w:rPr>
          <w:bCs/>
        </w:rPr>
        <w:t>), and regulatory T cells (</w:t>
      </w:r>
      <w:r>
        <w:rPr>
          <w:b/>
          <w:bCs/>
        </w:rPr>
        <w:t>G</w:t>
      </w:r>
      <w:r>
        <w:rPr>
          <w:bCs/>
        </w:rPr>
        <w:t>). Ratio of CD8</w:t>
      </w:r>
      <w:r w:rsidRPr="00C82798">
        <w:rPr>
          <w:vertAlign w:val="superscript"/>
        </w:rPr>
        <w:t>+</w:t>
      </w:r>
      <w:r>
        <w:rPr>
          <w:bCs/>
        </w:rPr>
        <w:t xml:space="preserve"> T cells/Regulatory T cells (</w:t>
      </w:r>
      <w:r>
        <w:rPr>
          <w:b/>
          <w:bCs/>
        </w:rPr>
        <w:t>H</w:t>
      </w:r>
      <w:r>
        <w:rPr>
          <w:bCs/>
        </w:rPr>
        <w:t>). (</w:t>
      </w:r>
      <w:r w:rsidRPr="0015408B">
        <w:rPr>
          <w:bCs/>
        </w:rPr>
        <w:t>N=3</w:t>
      </w:r>
      <w:r>
        <w:rPr>
          <w:bCs/>
        </w:rPr>
        <w:t xml:space="preserve">; n=17-25; </w:t>
      </w:r>
      <w:r w:rsidRPr="00E01754">
        <w:rPr>
          <w:color w:val="000000"/>
          <w:kern w:val="24"/>
        </w:rPr>
        <w:t>Tukey’s multiple comparison test</w:t>
      </w:r>
      <w:r>
        <w:rPr>
          <w:bCs/>
        </w:rPr>
        <w:t xml:space="preserve"> for CD4</w:t>
      </w:r>
      <w:r w:rsidRPr="00C82798">
        <w:rPr>
          <w:vertAlign w:val="superscript"/>
        </w:rPr>
        <w:t>+</w:t>
      </w:r>
      <w:r>
        <w:rPr>
          <w:bCs/>
        </w:rPr>
        <w:t xml:space="preserve"> T cells and ratio CD8</w:t>
      </w:r>
      <w:r w:rsidRPr="00C82798">
        <w:rPr>
          <w:vertAlign w:val="superscript"/>
        </w:rPr>
        <w:t>+</w:t>
      </w:r>
      <w:r>
        <w:rPr>
          <w:bCs/>
        </w:rPr>
        <w:t xml:space="preserve"> T </w:t>
      </w:r>
      <w:r>
        <w:rPr>
          <w:bCs/>
        </w:rPr>
        <w:lastRenderedPageBreak/>
        <w:t>cells/ Regulatory T cells and</w:t>
      </w:r>
      <w:r w:rsidRPr="0015408B">
        <w:rPr>
          <w:bCs/>
        </w:rPr>
        <w:t xml:space="preserve"> Dunn’s multiple comparison test</w:t>
      </w:r>
      <w:r>
        <w:rPr>
          <w:bCs/>
        </w:rPr>
        <w:t xml:space="preserve"> for CD8</w:t>
      </w:r>
      <w:r w:rsidRPr="00C82798">
        <w:rPr>
          <w:vertAlign w:val="superscript"/>
        </w:rPr>
        <w:t>+</w:t>
      </w:r>
      <w:r>
        <w:rPr>
          <w:bCs/>
        </w:rPr>
        <w:t xml:space="preserve"> T cells and regulatory T cells)</w:t>
      </w:r>
      <w:r w:rsidRPr="0015408B">
        <w:rPr>
          <w:bCs/>
        </w:rPr>
        <w:t>.</w:t>
      </w:r>
      <w:r>
        <w:rPr>
          <w:bCs/>
        </w:rPr>
        <w:t xml:space="preserve"> All graphs show mean +/- SD and each dot represents an individual mouse. </w:t>
      </w:r>
      <w:r w:rsidRPr="00E01754">
        <w:rPr>
          <w:color w:val="000000"/>
          <w:kern w:val="24"/>
        </w:rPr>
        <w:t>*</w:t>
      </w:r>
      <w:r w:rsidRPr="00E01754">
        <w:rPr>
          <w:i/>
          <w:iCs/>
          <w:color w:val="000000"/>
          <w:kern w:val="24"/>
        </w:rPr>
        <w:t xml:space="preserve">p </w:t>
      </w:r>
      <w:r w:rsidRPr="00E01754">
        <w:rPr>
          <w:color w:val="000000"/>
          <w:kern w:val="24"/>
        </w:rPr>
        <w:t>&lt; 0.05; **</w:t>
      </w:r>
      <w:r w:rsidRPr="00E01754">
        <w:rPr>
          <w:i/>
          <w:iCs/>
          <w:color w:val="000000"/>
          <w:kern w:val="24"/>
        </w:rPr>
        <w:t>p</w:t>
      </w:r>
      <w:r w:rsidRPr="00E01754">
        <w:rPr>
          <w:color w:val="000000"/>
          <w:kern w:val="24"/>
        </w:rPr>
        <w:t> &lt; 0.01; ***</w:t>
      </w:r>
      <w:r w:rsidRPr="00E01754">
        <w:rPr>
          <w:i/>
          <w:iCs/>
          <w:color w:val="000000"/>
          <w:kern w:val="24"/>
        </w:rPr>
        <w:t>p</w:t>
      </w:r>
      <w:r w:rsidRPr="00E01754">
        <w:rPr>
          <w:color w:val="000000"/>
          <w:kern w:val="24"/>
        </w:rPr>
        <w:t> &lt; 0.001; ****</w:t>
      </w:r>
      <w:r w:rsidRPr="00E01754">
        <w:rPr>
          <w:i/>
          <w:iCs/>
          <w:color w:val="000000"/>
          <w:kern w:val="24"/>
        </w:rPr>
        <w:t>p</w:t>
      </w:r>
      <w:r w:rsidRPr="00E01754">
        <w:rPr>
          <w:color w:val="000000"/>
          <w:kern w:val="24"/>
        </w:rPr>
        <w:t> &lt; 0.0001.</w:t>
      </w:r>
    </w:p>
    <w:p w:rsidR="008D02BF" w:rsidRPr="00E01754" w:rsidRDefault="008D02BF" w:rsidP="008D02BF">
      <w:pPr>
        <w:pStyle w:val="NormalWeb"/>
        <w:spacing w:after="150" w:line="480" w:lineRule="auto"/>
        <w:jc w:val="both"/>
        <w:rPr>
          <w:color w:val="000000"/>
          <w:kern w:val="24"/>
        </w:rPr>
      </w:pPr>
      <w:r w:rsidRPr="000E1822">
        <w:rPr>
          <w:b/>
          <w:bCs/>
          <w:color w:val="000000"/>
          <w:kern w:val="24"/>
        </w:rPr>
        <w:t>Fig. S8. CD8</w:t>
      </w:r>
      <w:r w:rsidRPr="000E1822">
        <w:rPr>
          <w:vertAlign w:val="superscript"/>
        </w:rPr>
        <w:t>+</w:t>
      </w:r>
      <w:r w:rsidRPr="000E1822">
        <w:rPr>
          <w:b/>
          <w:bCs/>
          <w:color w:val="000000"/>
          <w:kern w:val="24"/>
        </w:rPr>
        <w:t xml:space="preserve"> T cell phenotype in tumors. </w:t>
      </w:r>
      <w:r w:rsidRPr="000E1822">
        <w:rPr>
          <w:bCs/>
        </w:rPr>
        <w:t xml:space="preserve">Tumors were harvested on the day after the first week of </w:t>
      </w:r>
      <w:r>
        <w:rPr>
          <w:bCs/>
        </w:rPr>
        <w:t xml:space="preserve">indicated </w:t>
      </w:r>
      <w:r w:rsidRPr="000E1822">
        <w:rPr>
          <w:bCs/>
        </w:rPr>
        <w:t>treatment and immune cell suspensions were analyzed by flow cytometry to observe CD8</w:t>
      </w:r>
      <w:r w:rsidRPr="000E1822">
        <w:rPr>
          <w:vertAlign w:val="superscript"/>
        </w:rPr>
        <w:t>+</w:t>
      </w:r>
      <w:r w:rsidRPr="000E1822">
        <w:rPr>
          <w:bCs/>
        </w:rPr>
        <w:t xml:space="preserve"> T cell phenotypes after treatment. Heatmap showing median fluorescence intensity alterations (among CD8</w:t>
      </w:r>
      <w:r w:rsidRPr="000E1822">
        <w:rPr>
          <w:vertAlign w:val="superscript"/>
        </w:rPr>
        <w:t>+</w:t>
      </w:r>
      <w:r w:rsidRPr="000E1822">
        <w:rPr>
          <w:bCs/>
        </w:rPr>
        <w:t xml:space="preserve"> T cells) for various markers characteristic of CD8</w:t>
      </w:r>
      <w:r w:rsidRPr="000E1822">
        <w:rPr>
          <w:vertAlign w:val="superscript"/>
        </w:rPr>
        <w:t>+</w:t>
      </w:r>
      <w:r w:rsidRPr="000E1822">
        <w:rPr>
          <w:bCs/>
        </w:rPr>
        <w:t xml:space="preserve"> T cell subtype, each represented as an average z-score (N=2-4; n=10-28/group; </w:t>
      </w:r>
      <w:r w:rsidRPr="000E1822">
        <w:rPr>
          <w:color w:val="000000"/>
          <w:kern w:val="24"/>
        </w:rPr>
        <w:t>Tukey’s multiple comparison test</w:t>
      </w:r>
      <w:r w:rsidRPr="000E1822">
        <w:rPr>
          <w:bCs/>
        </w:rPr>
        <w:t xml:space="preserve"> for TCF-1/7, KLRG1, Ki67 and Perforin and Dunn’s multiple comparison test for Eomes, PD-1, and CCR7). </w:t>
      </w:r>
      <w:r w:rsidRPr="000E1822">
        <w:rPr>
          <w:color w:val="000000"/>
          <w:kern w:val="24"/>
        </w:rPr>
        <w:t>*</w:t>
      </w:r>
      <w:r w:rsidRPr="000E1822">
        <w:rPr>
          <w:i/>
          <w:iCs/>
          <w:color w:val="000000"/>
          <w:kern w:val="24"/>
        </w:rPr>
        <w:t xml:space="preserve">p </w:t>
      </w:r>
      <w:r w:rsidRPr="000E1822">
        <w:rPr>
          <w:color w:val="000000"/>
          <w:kern w:val="24"/>
        </w:rPr>
        <w:t>&lt; 0.05; **</w:t>
      </w:r>
      <w:r w:rsidRPr="000E1822">
        <w:rPr>
          <w:i/>
          <w:iCs/>
          <w:color w:val="000000"/>
          <w:kern w:val="24"/>
        </w:rPr>
        <w:t>p</w:t>
      </w:r>
      <w:r w:rsidRPr="000E1822">
        <w:rPr>
          <w:color w:val="000000"/>
          <w:kern w:val="24"/>
        </w:rPr>
        <w:t> &lt; 0.01; ***</w:t>
      </w:r>
      <w:r w:rsidRPr="000E1822">
        <w:rPr>
          <w:i/>
          <w:iCs/>
          <w:color w:val="000000"/>
          <w:kern w:val="24"/>
        </w:rPr>
        <w:t>p</w:t>
      </w:r>
      <w:r w:rsidRPr="000E1822">
        <w:rPr>
          <w:color w:val="000000"/>
          <w:kern w:val="24"/>
        </w:rPr>
        <w:t> &lt; 0.001.</w:t>
      </w:r>
    </w:p>
    <w:p w:rsidR="008D02BF" w:rsidRDefault="008D02BF" w:rsidP="008D02BF">
      <w:pPr>
        <w:spacing w:line="480" w:lineRule="auto"/>
        <w:rPr>
          <w:b/>
        </w:rPr>
      </w:pPr>
    </w:p>
    <w:p w:rsidR="008D02BF" w:rsidRPr="000173B0" w:rsidRDefault="008D02BF" w:rsidP="008D02BF">
      <w:pPr>
        <w:spacing w:line="480" w:lineRule="auto"/>
      </w:pPr>
      <w:r w:rsidRPr="000173B0">
        <w:t>Supplementary tables</w:t>
      </w:r>
    </w:p>
    <w:p w:rsidR="008D02BF" w:rsidRPr="000173B0" w:rsidRDefault="008D02BF" w:rsidP="008D02BF">
      <w:pPr>
        <w:spacing w:line="480" w:lineRule="auto"/>
      </w:pPr>
    </w:p>
    <w:p w:rsidR="008D02BF" w:rsidRPr="000173B0" w:rsidRDefault="008D02BF" w:rsidP="008D02BF">
      <w:pPr>
        <w:spacing w:line="480" w:lineRule="auto"/>
      </w:pPr>
      <w:r w:rsidRPr="000173B0">
        <w:t>Table S1. Flow cytometry antibodies used for myeloid subset analysis</w:t>
      </w:r>
    </w:p>
    <w:p w:rsidR="008D02BF" w:rsidRDefault="008D02BF" w:rsidP="008D02BF">
      <w:pPr>
        <w:spacing w:line="480" w:lineRule="auto"/>
        <w:rPr>
          <w:b/>
        </w:rPr>
      </w:pPr>
      <w:r>
        <w:rPr>
          <w:b/>
          <w:noProof/>
        </w:rPr>
        <w:object w:dxaOrig="1000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85pt;height:106.1pt" o:ole="">
            <v:imagedata r:id="rId8" o:title=""/>
          </v:shape>
          <o:OLEObject Type="Embed" ProgID="Excel.Sheet.12" ShapeID="_x0000_i1025" DrawAspect="Content" ObjectID="_1608849962" r:id="rId9"/>
        </w:object>
      </w:r>
    </w:p>
    <w:p w:rsidR="008D02BF" w:rsidRPr="000173B0" w:rsidRDefault="008D02BF" w:rsidP="008D02BF">
      <w:pPr>
        <w:spacing w:line="480" w:lineRule="auto"/>
      </w:pPr>
      <w:r w:rsidRPr="000173B0">
        <w:t>Table S2. Flow cytometry antibodies used for lymphocyte and CD8</w:t>
      </w:r>
      <w:r w:rsidRPr="00C82798">
        <w:rPr>
          <w:vertAlign w:val="superscript"/>
        </w:rPr>
        <w:t>+</w:t>
      </w:r>
      <w:r w:rsidRPr="000173B0">
        <w:t xml:space="preserve"> T cell subset analysis</w:t>
      </w:r>
    </w:p>
    <w:p w:rsidR="008D02BF" w:rsidRDefault="008D02BF" w:rsidP="008D02BF">
      <w:pPr>
        <w:spacing w:line="480" w:lineRule="auto"/>
        <w:rPr>
          <w:b/>
        </w:rPr>
      </w:pPr>
      <w:r>
        <w:rPr>
          <w:b/>
          <w:noProof/>
        </w:rPr>
        <w:lastRenderedPageBreak/>
        <w:drawing>
          <wp:inline distT="0" distB="0" distL="0" distR="0">
            <wp:extent cx="5943600" cy="152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524000"/>
                    </a:xfrm>
                    <a:prstGeom prst="rect">
                      <a:avLst/>
                    </a:prstGeom>
                    <a:noFill/>
                    <a:ln>
                      <a:noFill/>
                    </a:ln>
                  </pic:spPr>
                </pic:pic>
              </a:graphicData>
            </a:graphic>
          </wp:inline>
        </w:drawing>
      </w:r>
    </w:p>
    <w:p w:rsidR="008D02BF" w:rsidRPr="00384200" w:rsidRDefault="008D02BF" w:rsidP="008D02BF">
      <w:pPr>
        <w:pStyle w:val="Paragraph"/>
        <w:spacing w:line="480" w:lineRule="auto"/>
        <w:ind w:firstLine="0"/>
      </w:pPr>
    </w:p>
    <w:p w:rsidR="008D02BF" w:rsidRPr="00C339B2" w:rsidRDefault="008D02BF" w:rsidP="008D02BF">
      <w:pPr>
        <w:pStyle w:val="Paragraph"/>
        <w:spacing w:line="480" w:lineRule="auto"/>
        <w:ind w:firstLine="0"/>
      </w:pPr>
      <w:r>
        <w:br w:type="page"/>
      </w:r>
      <w:r w:rsidRPr="00C339B2">
        <w:lastRenderedPageBreak/>
        <w:t>Table S3. Immune pathway signature gene list used in gene expression analysis</w:t>
      </w:r>
    </w:p>
    <w:p w:rsidR="008D02BF" w:rsidRDefault="008D02BF" w:rsidP="008D02BF">
      <w:pPr>
        <w:pStyle w:val="Refhead"/>
        <w:spacing w:line="480" w:lineRule="auto"/>
      </w:pPr>
      <w:r>
        <w:rPr>
          <w:b w:val="0"/>
          <w:noProof/>
        </w:rPr>
        <w:drawing>
          <wp:inline distT="0" distB="0" distL="0" distR="0">
            <wp:extent cx="5953125" cy="1714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3125" cy="1714500"/>
                    </a:xfrm>
                    <a:prstGeom prst="rect">
                      <a:avLst/>
                    </a:prstGeom>
                    <a:noFill/>
                    <a:ln>
                      <a:noFill/>
                    </a:ln>
                  </pic:spPr>
                </pic:pic>
              </a:graphicData>
            </a:graphic>
          </wp:inline>
        </w:drawing>
      </w:r>
    </w:p>
    <w:p w:rsidR="008D02BF" w:rsidRPr="00C339B2" w:rsidRDefault="008D02BF" w:rsidP="008D02BF">
      <w:pPr>
        <w:spacing w:line="480" w:lineRule="auto"/>
      </w:pPr>
      <w:r w:rsidRPr="00C339B2">
        <w:t>Table S4. Immune cell type signature gene list used in gene expression analysis</w:t>
      </w:r>
    </w:p>
    <w:p w:rsidR="008D02BF" w:rsidRDefault="008D02BF" w:rsidP="008D02BF">
      <w:pPr>
        <w:spacing w:line="480" w:lineRule="auto"/>
      </w:pPr>
      <w:r>
        <w:rPr>
          <w:noProof/>
        </w:rPr>
        <w:object w:dxaOrig="16510" w:dyaOrig="3180">
          <v:shape id="_x0000_i1026" type="#_x0000_t75" style="width:530.55pt;height:102.3pt" o:ole="">
            <v:imagedata r:id="rId12" o:title=""/>
          </v:shape>
          <o:OLEObject Type="Embed" ProgID="Excel.Sheet.12" ShapeID="_x0000_i1026" DrawAspect="Content" ObjectID="_1608849963" r:id="rId13"/>
        </w:object>
      </w:r>
    </w:p>
    <w:p w:rsidR="00CE027B" w:rsidRDefault="00CE027B">
      <w:pPr>
        <w:ind w:firstLine="420"/>
      </w:pPr>
    </w:p>
    <w:sectPr w:rsidR="00CE027B" w:rsidSect="005308A3">
      <w:footerReference w:type="even" r:id="rId14"/>
      <w:footerReference w:type="default" r:id="rId15"/>
      <w:headerReference w:type="first" r:id="rId16"/>
      <w:pgSz w:w="12240" w:h="15840"/>
      <w:pgMar w:top="1440" w:right="1440" w:bottom="1440" w:left="1440" w:header="432" w:footer="720" w:gutter="0"/>
      <w:lnNumType w:countBy="1" w:restart="continuou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15D21">
      <w:pPr>
        <w:spacing w:after="0" w:line="240" w:lineRule="auto"/>
      </w:pPr>
      <w:r>
        <w:separator/>
      </w:r>
    </w:p>
  </w:endnote>
  <w:endnote w:type="continuationSeparator" w:id="0">
    <w:p w:rsidR="00000000" w:rsidRDefault="00B15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Europa">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19" w:rsidRDefault="008D02BF" w:rsidP="00FA3D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197B19" w:rsidRDefault="00B15D21" w:rsidP="00FA3D1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19" w:rsidRDefault="008D02BF" w:rsidP="00FA3D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B15D21">
      <w:rPr>
        <w:rStyle w:val="PageNumber"/>
        <w:noProof/>
      </w:rPr>
      <w:t>3</w:t>
    </w:r>
    <w:r>
      <w:rPr>
        <w:rStyle w:val="PageNumber"/>
      </w:rPr>
      <w:fldChar w:fldCharType="end"/>
    </w:r>
  </w:p>
  <w:p w:rsidR="00197B19" w:rsidRDefault="00B15D21" w:rsidP="00FA3D1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15D21">
      <w:pPr>
        <w:spacing w:after="0" w:line="240" w:lineRule="auto"/>
      </w:pPr>
      <w:r>
        <w:separator/>
      </w:r>
    </w:p>
  </w:footnote>
  <w:footnote w:type="continuationSeparator" w:id="0">
    <w:p w:rsidR="00000000" w:rsidRDefault="00B15D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19" w:rsidRDefault="008D02BF" w:rsidP="004A10BE">
    <w:pPr>
      <w:pStyle w:val="Header"/>
    </w:pPr>
    <w:r>
      <w:tab/>
    </w:r>
  </w:p>
  <w:p w:rsidR="00197B19" w:rsidRDefault="00B15D21" w:rsidP="004A10BE">
    <w:pPr>
      <w:pStyle w:val="Header"/>
    </w:pPr>
  </w:p>
  <w:p w:rsidR="00197B19" w:rsidRDefault="008D02BF" w:rsidP="004A10BE">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4623E"/>
    <w:multiLevelType w:val="multilevel"/>
    <w:tmpl w:val="CE1C8C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30710BBA"/>
    <w:multiLevelType w:val="multilevel"/>
    <w:tmpl w:val="C8BEC904"/>
    <w:lvl w:ilvl="0">
      <w:start w:val="1"/>
      <w:numFmt w:val="decimal"/>
      <w:lvlText w:val="%1"/>
      <w:lvlJc w:val="left"/>
      <w:pPr>
        <w:ind w:left="630" w:hanging="360"/>
      </w:pPr>
      <w:rPr>
        <w:rFonts w:ascii="Times New Roman" w:hAnsi="Times New Roman" w:hint="default"/>
        <w:sz w:val="20"/>
      </w:rPr>
    </w:lvl>
    <w:lvl w:ilvl="1">
      <w:start w:val="1"/>
      <w:numFmt w:val="decimal"/>
      <w:lvlText w:val="%1.%2."/>
      <w:lvlJc w:val="left"/>
      <w:pPr>
        <w:ind w:left="9505" w:hanging="432"/>
      </w:pPr>
      <w:rPr>
        <w:rFonts w:ascii="Times New Roman" w:hAnsi="Times New Roman" w:cs="Times New Roman" w:hint="default"/>
      </w:r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2BF"/>
    <w:rsid w:val="000B0198"/>
    <w:rsid w:val="001704DE"/>
    <w:rsid w:val="001C0B70"/>
    <w:rsid w:val="00271782"/>
    <w:rsid w:val="00285720"/>
    <w:rsid w:val="0029038C"/>
    <w:rsid w:val="00363286"/>
    <w:rsid w:val="00506858"/>
    <w:rsid w:val="005A2763"/>
    <w:rsid w:val="006A375A"/>
    <w:rsid w:val="006D2299"/>
    <w:rsid w:val="0082058D"/>
    <w:rsid w:val="008D02BF"/>
    <w:rsid w:val="00944A67"/>
    <w:rsid w:val="009A190A"/>
    <w:rsid w:val="009F4145"/>
    <w:rsid w:val="00AD4AE8"/>
    <w:rsid w:val="00B15D21"/>
    <w:rsid w:val="00C8799C"/>
    <w:rsid w:val="00CE027B"/>
    <w:rsid w:val="00DB29E6"/>
    <w:rsid w:val="00DB4899"/>
    <w:rsid w:val="00F61E0A"/>
    <w:rsid w:val="00F86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782"/>
    <w:rPr>
      <w:rFonts w:eastAsiaTheme="minorEastAsia"/>
    </w:rPr>
  </w:style>
  <w:style w:type="paragraph" w:styleId="Heading1">
    <w:name w:val="heading 1"/>
    <w:basedOn w:val="Normal"/>
    <w:next w:val="Normal"/>
    <w:link w:val="Heading1Char"/>
    <w:uiPriority w:val="9"/>
    <w:qFormat/>
    <w:rsid w:val="0027178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7178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271782"/>
    <w:pPr>
      <w:spacing w:after="168" w:line="240" w:lineRule="auto"/>
      <w:outlineLvl w:val="2"/>
    </w:pPr>
    <w:rPr>
      <w:rFonts w:ascii="Europa" w:eastAsiaTheme="majorEastAsia" w:hAnsi="Europa" w:cstheme="majorBidi"/>
      <w:b/>
      <w:bCs/>
      <w:color w:val="1B3051"/>
      <w:sz w:val="27"/>
      <w:szCs w:val="27"/>
    </w:rPr>
  </w:style>
  <w:style w:type="paragraph" w:styleId="Heading4">
    <w:name w:val="heading 4"/>
    <w:basedOn w:val="Normal"/>
    <w:next w:val="Normal"/>
    <w:link w:val="Heading4Char"/>
    <w:uiPriority w:val="9"/>
    <w:unhideWhenUsed/>
    <w:qFormat/>
    <w:rsid w:val="00271782"/>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271782"/>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271782"/>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27178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7178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7178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1782"/>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27178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271782"/>
    <w:rPr>
      <w:rFonts w:ascii="Europa" w:eastAsiaTheme="majorEastAsia" w:hAnsi="Europa" w:cstheme="majorBidi"/>
      <w:b/>
      <w:bCs/>
      <w:color w:val="1B3051"/>
      <w:sz w:val="27"/>
      <w:szCs w:val="27"/>
    </w:rPr>
  </w:style>
  <w:style w:type="character" w:customStyle="1" w:styleId="Heading4Char">
    <w:name w:val="Heading 4 Char"/>
    <w:basedOn w:val="DefaultParagraphFont"/>
    <w:link w:val="Heading4"/>
    <w:uiPriority w:val="9"/>
    <w:rsid w:val="0027178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27178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271782"/>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27178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7178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71782"/>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271782"/>
    <w:pPr>
      <w:spacing w:after="200" w:line="240" w:lineRule="auto"/>
    </w:pPr>
    <w:rPr>
      <w:b/>
      <w:bCs/>
      <w:color w:val="5B9BD5" w:themeColor="accent1"/>
      <w:sz w:val="18"/>
      <w:szCs w:val="18"/>
    </w:rPr>
  </w:style>
  <w:style w:type="paragraph" w:styleId="Title">
    <w:name w:val="Title"/>
    <w:basedOn w:val="Normal"/>
    <w:next w:val="Normal"/>
    <w:link w:val="TitleChar"/>
    <w:uiPriority w:val="10"/>
    <w:qFormat/>
    <w:rsid w:val="00271782"/>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271782"/>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271782"/>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271782"/>
    <w:rPr>
      <w:rFonts w:asciiTheme="majorHAnsi" w:eastAsiaTheme="majorEastAsia" w:hAnsiTheme="majorHAnsi" w:cstheme="majorBidi"/>
      <w:i/>
      <w:iCs/>
      <w:color w:val="5B9BD5" w:themeColor="accent1"/>
      <w:spacing w:val="15"/>
      <w:sz w:val="24"/>
      <w:szCs w:val="24"/>
    </w:rPr>
  </w:style>
  <w:style w:type="paragraph" w:styleId="NoSpacing">
    <w:name w:val="No Spacing"/>
    <w:uiPriority w:val="1"/>
    <w:qFormat/>
    <w:rsid w:val="00271782"/>
    <w:pPr>
      <w:spacing w:after="0" w:line="240" w:lineRule="auto"/>
    </w:pPr>
    <w:rPr>
      <w:rFonts w:eastAsiaTheme="minorEastAsia"/>
    </w:rPr>
  </w:style>
  <w:style w:type="paragraph" w:styleId="ListParagraph">
    <w:name w:val="List Paragraph"/>
    <w:basedOn w:val="Normal"/>
    <w:link w:val="ListParagraphChar"/>
    <w:uiPriority w:val="34"/>
    <w:qFormat/>
    <w:rsid w:val="00271782"/>
    <w:pPr>
      <w:spacing w:after="200" w:line="276" w:lineRule="auto"/>
      <w:ind w:left="720"/>
      <w:contextualSpacing/>
    </w:pPr>
    <w:rPr>
      <w:rFonts w:ascii="Calibri" w:eastAsia="Calibri" w:hAnsi="Calibri"/>
    </w:rPr>
  </w:style>
  <w:style w:type="paragraph" w:styleId="Quote">
    <w:name w:val="Quote"/>
    <w:basedOn w:val="Normal"/>
    <w:next w:val="Normal"/>
    <w:link w:val="QuoteChar"/>
    <w:uiPriority w:val="29"/>
    <w:qFormat/>
    <w:rsid w:val="00271782"/>
    <w:rPr>
      <w:i/>
      <w:iCs/>
      <w:color w:val="000000" w:themeColor="text1"/>
    </w:rPr>
  </w:style>
  <w:style w:type="character" w:customStyle="1" w:styleId="QuoteChar">
    <w:name w:val="Quote Char"/>
    <w:basedOn w:val="DefaultParagraphFont"/>
    <w:link w:val="Quote"/>
    <w:uiPriority w:val="29"/>
    <w:rsid w:val="00271782"/>
    <w:rPr>
      <w:rFonts w:eastAsiaTheme="minorEastAsia"/>
      <w:i/>
      <w:iCs/>
      <w:color w:val="000000" w:themeColor="text1"/>
    </w:rPr>
  </w:style>
  <w:style w:type="paragraph" w:styleId="IntenseQuote">
    <w:name w:val="Intense Quote"/>
    <w:basedOn w:val="Normal"/>
    <w:next w:val="Normal"/>
    <w:link w:val="IntenseQuoteChar"/>
    <w:uiPriority w:val="30"/>
    <w:qFormat/>
    <w:rsid w:val="00271782"/>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271782"/>
    <w:rPr>
      <w:rFonts w:eastAsiaTheme="minorEastAsia"/>
      <w:b/>
      <w:bCs/>
      <w:i/>
      <w:iCs/>
      <w:color w:val="5B9BD5" w:themeColor="accent1"/>
    </w:rPr>
  </w:style>
  <w:style w:type="paragraph" w:styleId="TOCHeading">
    <w:name w:val="TOC Heading"/>
    <w:basedOn w:val="Heading1"/>
    <w:next w:val="Normal"/>
    <w:uiPriority w:val="39"/>
    <w:unhideWhenUsed/>
    <w:qFormat/>
    <w:rsid w:val="00271782"/>
    <w:pPr>
      <w:outlineLvl w:val="9"/>
    </w:pPr>
  </w:style>
  <w:style w:type="character" w:styleId="Emphasis">
    <w:name w:val="Emphasis"/>
    <w:basedOn w:val="DefaultParagraphFont"/>
    <w:uiPriority w:val="20"/>
    <w:qFormat/>
    <w:rsid w:val="00271782"/>
    <w:rPr>
      <w:i/>
      <w:iCs/>
    </w:rPr>
  </w:style>
  <w:style w:type="character" w:styleId="Strong">
    <w:name w:val="Strong"/>
    <w:basedOn w:val="DefaultParagraphFont"/>
    <w:uiPriority w:val="22"/>
    <w:qFormat/>
    <w:rsid w:val="00271782"/>
    <w:rPr>
      <w:b/>
      <w:bCs/>
    </w:rPr>
  </w:style>
  <w:style w:type="character" w:customStyle="1" w:styleId="ListParagraphChar">
    <w:name w:val="List Paragraph Char"/>
    <w:basedOn w:val="DefaultParagraphFont"/>
    <w:link w:val="ListParagraph"/>
    <w:uiPriority w:val="34"/>
    <w:rsid w:val="006A375A"/>
    <w:rPr>
      <w:rFonts w:ascii="Calibri" w:eastAsia="Calibri" w:hAnsi="Calibri"/>
    </w:rPr>
  </w:style>
  <w:style w:type="paragraph" w:customStyle="1" w:styleId="Paragraph">
    <w:name w:val="Paragraph"/>
    <w:basedOn w:val="Normal"/>
    <w:rsid w:val="008D02BF"/>
    <w:pPr>
      <w:spacing w:before="120" w:after="0" w:line="240" w:lineRule="auto"/>
      <w:ind w:firstLine="720"/>
    </w:pPr>
    <w:rPr>
      <w:rFonts w:ascii="Times New Roman" w:eastAsia="Times New Roman" w:hAnsi="Times New Roman" w:cs="Times New Roman"/>
      <w:sz w:val="24"/>
      <w:szCs w:val="24"/>
    </w:rPr>
  </w:style>
  <w:style w:type="paragraph" w:styleId="Footer">
    <w:name w:val="footer"/>
    <w:basedOn w:val="Normal"/>
    <w:link w:val="FooterChar"/>
    <w:rsid w:val="008D02BF"/>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8D02BF"/>
    <w:rPr>
      <w:rFonts w:ascii="Times New Roman" w:eastAsia="Times New Roman" w:hAnsi="Times New Roman" w:cs="Times New Roman"/>
      <w:sz w:val="24"/>
      <w:szCs w:val="24"/>
    </w:rPr>
  </w:style>
  <w:style w:type="paragraph" w:styleId="Header">
    <w:name w:val="header"/>
    <w:basedOn w:val="Normal"/>
    <w:link w:val="HeaderChar"/>
    <w:rsid w:val="008D02BF"/>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8D02BF"/>
    <w:rPr>
      <w:rFonts w:ascii="Times New Roman" w:eastAsia="Times New Roman" w:hAnsi="Times New Roman" w:cs="Times New Roman"/>
      <w:sz w:val="24"/>
      <w:szCs w:val="24"/>
    </w:rPr>
  </w:style>
  <w:style w:type="character" w:styleId="PageNumber">
    <w:name w:val="page number"/>
    <w:basedOn w:val="DefaultParagraphFont"/>
    <w:rsid w:val="008D02BF"/>
  </w:style>
  <w:style w:type="paragraph" w:customStyle="1" w:styleId="Refhead">
    <w:name w:val="Ref head"/>
    <w:basedOn w:val="Normal"/>
    <w:rsid w:val="008D02BF"/>
    <w:pPr>
      <w:keepNext/>
      <w:spacing w:before="120" w:after="120" w:line="240" w:lineRule="auto"/>
      <w:outlineLvl w:val="0"/>
    </w:pPr>
    <w:rPr>
      <w:rFonts w:ascii="Times New Roman" w:eastAsia="Times New Roman" w:hAnsi="Times New Roman" w:cs="Times New Roman"/>
      <w:b/>
      <w:bCs/>
      <w:kern w:val="28"/>
      <w:sz w:val="24"/>
      <w:szCs w:val="24"/>
    </w:rPr>
  </w:style>
  <w:style w:type="paragraph" w:customStyle="1" w:styleId="SOMHead">
    <w:name w:val="SOMHead"/>
    <w:basedOn w:val="Normal"/>
    <w:rsid w:val="008D02BF"/>
    <w:pPr>
      <w:keepNext/>
      <w:spacing w:before="240" w:after="0" w:line="240" w:lineRule="auto"/>
      <w:outlineLvl w:val="0"/>
    </w:pPr>
    <w:rPr>
      <w:rFonts w:ascii="Times New Roman" w:eastAsia="Times New Roman" w:hAnsi="Times New Roman" w:cs="Times New Roman"/>
      <w:b/>
      <w:kern w:val="28"/>
      <w:sz w:val="24"/>
      <w:szCs w:val="24"/>
    </w:rPr>
  </w:style>
  <w:style w:type="paragraph" w:styleId="NormalWeb">
    <w:name w:val="Normal (Web)"/>
    <w:basedOn w:val="Normal"/>
    <w:uiPriority w:val="99"/>
    <w:unhideWhenUsed/>
    <w:rsid w:val="008D02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D02BF"/>
    <w:pPr>
      <w:autoSpaceDE w:val="0"/>
      <w:autoSpaceDN w:val="0"/>
      <w:adjustRightInd w:val="0"/>
      <w:spacing w:after="0" w:line="240" w:lineRule="auto"/>
    </w:pPr>
    <w:rPr>
      <w:rFonts w:ascii="Calibri" w:eastAsia="Calibri" w:hAnsi="Calibri" w:cs="Calibri"/>
      <w:color w:val="000000"/>
      <w:sz w:val="24"/>
      <w:szCs w:val="24"/>
    </w:rPr>
  </w:style>
  <w:style w:type="character" w:styleId="LineNumber">
    <w:name w:val="line number"/>
    <w:basedOn w:val="DefaultParagraphFont"/>
    <w:uiPriority w:val="99"/>
    <w:semiHidden/>
    <w:unhideWhenUsed/>
    <w:rsid w:val="008D02BF"/>
  </w:style>
  <w:style w:type="paragraph" w:styleId="BalloonText">
    <w:name w:val="Balloon Text"/>
    <w:basedOn w:val="Normal"/>
    <w:link w:val="BalloonTextChar"/>
    <w:uiPriority w:val="99"/>
    <w:semiHidden/>
    <w:unhideWhenUsed/>
    <w:rsid w:val="008D02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02BF"/>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782"/>
    <w:rPr>
      <w:rFonts w:eastAsiaTheme="minorEastAsia"/>
    </w:rPr>
  </w:style>
  <w:style w:type="paragraph" w:styleId="Heading1">
    <w:name w:val="heading 1"/>
    <w:basedOn w:val="Normal"/>
    <w:next w:val="Normal"/>
    <w:link w:val="Heading1Char"/>
    <w:uiPriority w:val="9"/>
    <w:qFormat/>
    <w:rsid w:val="0027178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7178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271782"/>
    <w:pPr>
      <w:spacing w:after="168" w:line="240" w:lineRule="auto"/>
      <w:outlineLvl w:val="2"/>
    </w:pPr>
    <w:rPr>
      <w:rFonts w:ascii="Europa" w:eastAsiaTheme="majorEastAsia" w:hAnsi="Europa" w:cstheme="majorBidi"/>
      <w:b/>
      <w:bCs/>
      <w:color w:val="1B3051"/>
      <w:sz w:val="27"/>
      <w:szCs w:val="27"/>
    </w:rPr>
  </w:style>
  <w:style w:type="paragraph" w:styleId="Heading4">
    <w:name w:val="heading 4"/>
    <w:basedOn w:val="Normal"/>
    <w:next w:val="Normal"/>
    <w:link w:val="Heading4Char"/>
    <w:uiPriority w:val="9"/>
    <w:unhideWhenUsed/>
    <w:qFormat/>
    <w:rsid w:val="00271782"/>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271782"/>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271782"/>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27178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7178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7178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1782"/>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27178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271782"/>
    <w:rPr>
      <w:rFonts w:ascii="Europa" w:eastAsiaTheme="majorEastAsia" w:hAnsi="Europa" w:cstheme="majorBidi"/>
      <w:b/>
      <w:bCs/>
      <w:color w:val="1B3051"/>
      <w:sz w:val="27"/>
      <w:szCs w:val="27"/>
    </w:rPr>
  </w:style>
  <w:style w:type="character" w:customStyle="1" w:styleId="Heading4Char">
    <w:name w:val="Heading 4 Char"/>
    <w:basedOn w:val="DefaultParagraphFont"/>
    <w:link w:val="Heading4"/>
    <w:uiPriority w:val="9"/>
    <w:rsid w:val="0027178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27178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271782"/>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27178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7178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71782"/>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271782"/>
    <w:pPr>
      <w:spacing w:after="200" w:line="240" w:lineRule="auto"/>
    </w:pPr>
    <w:rPr>
      <w:b/>
      <w:bCs/>
      <w:color w:val="5B9BD5" w:themeColor="accent1"/>
      <w:sz w:val="18"/>
      <w:szCs w:val="18"/>
    </w:rPr>
  </w:style>
  <w:style w:type="paragraph" w:styleId="Title">
    <w:name w:val="Title"/>
    <w:basedOn w:val="Normal"/>
    <w:next w:val="Normal"/>
    <w:link w:val="TitleChar"/>
    <w:uiPriority w:val="10"/>
    <w:qFormat/>
    <w:rsid w:val="00271782"/>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271782"/>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271782"/>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271782"/>
    <w:rPr>
      <w:rFonts w:asciiTheme="majorHAnsi" w:eastAsiaTheme="majorEastAsia" w:hAnsiTheme="majorHAnsi" w:cstheme="majorBidi"/>
      <w:i/>
      <w:iCs/>
      <w:color w:val="5B9BD5" w:themeColor="accent1"/>
      <w:spacing w:val="15"/>
      <w:sz w:val="24"/>
      <w:szCs w:val="24"/>
    </w:rPr>
  </w:style>
  <w:style w:type="paragraph" w:styleId="NoSpacing">
    <w:name w:val="No Spacing"/>
    <w:uiPriority w:val="1"/>
    <w:qFormat/>
    <w:rsid w:val="00271782"/>
    <w:pPr>
      <w:spacing w:after="0" w:line="240" w:lineRule="auto"/>
    </w:pPr>
    <w:rPr>
      <w:rFonts w:eastAsiaTheme="minorEastAsia"/>
    </w:rPr>
  </w:style>
  <w:style w:type="paragraph" w:styleId="ListParagraph">
    <w:name w:val="List Paragraph"/>
    <w:basedOn w:val="Normal"/>
    <w:link w:val="ListParagraphChar"/>
    <w:uiPriority w:val="34"/>
    <w:qFormat/>
    <w:rsid w:val="00271782"/>
    <w:pPr>
      <w:spacing w:after="200" w:line="276" w:lineRule="auto"/>
      <w:ind w:left="720"/>
      <w:contextualSpacing/>
    </w:pPr>
    <w:rPr>
      <w:rFonts w:ascii="Calibri" w:eastAsia="Calibri" w:hAnsi="Calibri"/>
    </w:rPr>
  </w:style>
  <w:style w:type="paragraph" w:styleId="Quote">
    <w:name w:val="Quote"/>
    <w:basedOn w:val="Normal"/>
    <w:next w:val="Normal"/>
    <w:link w:val="QuoteChar"/>
    <w:uiPriority w:val="29"/>
    <w:qFormat/>
    <w:rsid w:val="00271782"/>
    <w:rPr>
      <w:i/>
      <w:iCs/>
      <w:color w:val="000000" w:themeColor="text1"/>
    </w:rPr>
  </w:style>
  <w:style w:type="character" w:customStyle="1" w:styleId="QuoteChar">
    <w:name w:val="Quote Char"/>
    <w:basedOn w:val="DefaultParagraphFont"/>
    <w:link w:val="Quote"/>
    <w:uiPriority w:val="29"/>
    <w:rsid w:val="00271782"/>
    <w:rPr>
      <w:rFonts w:eastAsiaTheme="minorEastAsia"/>
      <w:i/>
      <w:iCs/>
      <w:color w:val="000000" w:themeColor="text1"/>
    </w:rPr>
  </w:style>
  <w:style w:type="paragraph" w:styleId="IntenseQuote">
    <w:name w:val="Intense Quote"/>
    <w:basedOn w:val="Normal"/>
    <w:next w:val="Normal"/>
    <w:link w:val="IntenseQuoteChar"/>
    <w:uiPriority w:val="30"/>
    <w:qFormat/>
    <w:rsid w:val="00271782"/>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271782"/>
    <w:rPr>
      <w:rFonts w:eastAsiaTheme="minorEastAsia"/>
      <w:b/>
      <w:bCs/>
      <w:i/>
      <w:iCs/>
      <w:color w:val="5B9BD5" w:themeColor="accent1"/>
    </w:rPr>
  </w:style>
  <w:style w:type="paragraph" w:styleId="TOCHeading">
    <w:name w:val="TOC Heading"/>
    <w:basedOn w:val="Heading1"/>
    <w:next w:val="Normal"/>
    <w:uiPriority w:val="39"/>
    <w:unhideWhenUsed/>
    <w:qFormat/>
    <w:rsid w:val="00271782"/>
    <w:pPr>
      <w:outlineLvl w:val="9"/>
    </w:pPr>
  </w:style>
  <w:style w:type="character" w:styleId="Emphasis">
    <w:name w:val="Emphasis"/>
    <w:basedOn w:val="DefaultParagraphFont"/>
    <w:uiPriority w:val="20"/>
    <w:qFormat/>
    <w:rsid w:val="00271782"/>
    <w:rPr>
      <w:i/>
      <w:iCs/>
    </w:rPr>
  </w:style>
  <w:style w:type="character" w:styleId="Strong">
    <w:name w:val="Strong"/>
    <w:basedOn w:val="DefaultParagraphFont"/>
    <w:uiPriority w:val="22"/>
    <w:qFormat/>
    <w:rsid w:val="00271782"/>
    <w:rPr>
      <w:b/>
      <w:bCs/>
    </w:rPr>
  </w:style>
  <w:style w:type="character" w:customStyle="1" w:styleId="ListParagraphChar">
    <w:name w:val="List Paragraph Char"/>
    <w:basedOn w:val="DefaultParagraphFont"/>
    <w:link w:val="ListParagraph"/>
    <w:uiPriority w:val="34"/>
    <w:rsid w:val="006A375A"/>
    <w:rPr>
      <w:rFonts w:ascii="Calibri" w:eastAsia="Calibri" w:hAnsi="Calibri"/>
    </w:rPr>
  </w:style>
  <w:style w:type="paragraph" w:customStyle="1" w:styleId="Paragraph">
    <w:name w:val="Paragraph"/>
    <w:basedOn w:val="Normal"/>
    <w:rsid w:val="008D02BF"/>
    <w:pPr>
      <w:spacing w:before="120" w:after="0" w:line="240" w:lineRule="auto"/>
      <w:ind w:firstLine="720"/>
    </w:pPr>
    <w:rPr>
      <w:rFonts w:ascii="Times New Roman" w:eastAsia="Times New Roman" w:hAnsi="Times New Roman" w:cs="Times New Roman"/>
      <w:sz w:val="24"/>
      <w:szCs w:val="24"/>
    </w:rPr>
  </w:style>
  <w:style w:type="paragraph" w:styleId="Footer">
    <w:name w:val="footer"/>
    <w:basedOn w:val="Normal"/>
    <w:link w:val="FooterChar"/>
    <w:rsid w:val="008D02BF"/>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8D02BF"/>
    <w:rPr>
      <w:rFonts w:ascii="Times New Roman" w:eastAsia="Times New Roman" w:hAnsi="Times New Roman" w:cs="Times New Roman"/>
      <w:sz w:val="24"/>
      <w:szCs w:val="24"/>
    </w:rPr>
  </w:style>
  <w:style w:type="paragraph" w:styleId="Header">
    <w:name w:val="header"/>
    <w:basedOn w:val="Normal"/>
    <w:link w:val="HeaderChar"/>
    <w:rsid w:val="008D02BF"/>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8D02BF"/>
    <w:rPr>
      <w:rFonts w:ascii="Times New Roman" w:eastAsia="Times New Roman" w:hAnsi="Times New Roman" w:cs="Times New Roman"/>
      <w:sz w:val="24"/>
      <w:szCs w:val="24"/>
    </w:rPr>
  </w:style>
  <w:style w:type="character" w:styleId="PageNumber">
    <w:name w:val="page number"/>
    <w:basedOn w:val="DefaultParagraphFont"/>
    <w:rsid w:val="008D02BF"/>
  </w:style>
  <w:style w:type="paragraph" w:customStyle="1" w:styleId="Refhead">
    <w:name w:val="Ref head"/>
    <w:basedOn w:val="Normal"/>
    <w:rsid w:val="008D02BF"/>
    <w:pPr>
      <w:keepNext/>
      <w:spacing w:before="120" w:after="120" w:line="240" w:lineRule="auto"/>
      <w:outlineLvl w:val="0"/>
    </w:pPr>
    <w:rPr>
      <w:rFonts w:ascii="Times New Roman" w:eastAsia="Times New Roman" w:hAnsi="Times New Roman" w:cs="Times New Roman"/>
      <w:b/>
      <w:bCs/>
      <w:kern w:val="28"/>
      <w:sz w:val="24"/>
      <w:szCs w:val="24"/>
    </w:rPr>
  </w:style>
  <w:style w:type="paragraph" w:customStyle="1" w:styleId="SOMHead">
    <w:name w:val="SOMHead"/>
    <w:basedOn w:val="Normal"/>
    <w:rsid w:val="008D02BF"/>
    <w:pPr>
      <w:keepNext/>
      <w:spacing w:before="240" w:after="0" w:line="240" w:lineRule="auto"/>
      <w:outlineLvl w:val="0"/>
    </w:pPr>
    <w:rPr>
      <w:rFonts w:ascii="Times New Roman" w:eastAsia="Times New Roman" w:hAnsi="Times New Roman" w:cs="Times New Roman"/>
      <w:b/>
      <w:kern w:val="28"/>
      <w:sz w:val="24"/>
      <w:szCs w:val="24"/>
    </w:rPr>
  </w:style>
  <w:style w:type="paragraph" w:styleId="NormalWeb">
    <w:name w:val="Normal (Web)"/>
    <w:basedOn w:val="Normal"/>
    <w:uiPriority w:val="99"/>
    <w:unhideWhenUsed/>
    <w:rsid w:val="008D02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D02BF"/>
    <w:pPr>
      <w:autoSpaceDE w:val="0"/>
      <w:autoSpaceDN w:val="0"/>
      <w:adjustRightInd w:val="0"/>
      <w:spacing w:after="0" w:line="240" w:lineRule="auto"/>
    </w:pPr>
    <w:rPr>
      <w:rFonts w:ascii="Calibri" w:eastAsia="Calibri" w:hAnsi="Calibri" w:cs="Calibri"/>
      <w:color w:val="000000"/>
      <w:sz w:val="24"/>
      <w:szCs w:val="24"/>
    </w:rPr>
  </w:style>
  <w:style w:type="character" w:styleId="LineNumber">
    <w:name w:val="line number"/>
    <w:basedOn w:val="DefaultParagraphFont"/>
    <w:uiPriority w:val="99"/>
    <w:semiHidden/>
    <w:unhideWhenUsed/>
    <w:rsid w:val="008D02BF"/>
  </w:style>
  <w:style w:type="paragraph" w:styleId="BalloonText">
    <w:name w:val="Balloon Text"/>
    <w:basedOn w:val="Normal"/>
    <w:link w:val="BalloonTextChar"/>
    <w:uiPriority w:val="99"/>
    <w:semiHidden/>
    <w:unhideWhenUsed/>
    <w:rsid w:val="008D02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02BF"/>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3810</Words>
  <Characters>21721</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RARAMOS</dc:creator>
  <cp:lastModifiedBy>Calumpang, Mario Jade</cp:lastModifiedBy>
  <cp:revision>4</cp:revision>
  <dcterms:created xsi:type="dcterms:W3CDTF">2018-12-15T12:05:00Z</dcterms:created>
  <dcterms:modified xsi:type="dcterms:W3CDTF">2019-01-12T18:00:00Z</dcterms:modified>
</cp:coreProperties>
</file>